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325D308A" w:rsidR="00A209D6" w:rsidRPr="00206708" w:rsidRDefault="00A209D6" w:rsidP="008F6314">
      <w:pPr>
        <w:pStyle w:val="Header"/>
        <w:tabs>
          <w:tab w:val="right" w:pos="9639"/>
        </w:tabs>
        <w:jc w:val="both"/>
        <w:rPr>
          <w:bCs/>
          <w:i/>
          <w:noProof w:val="0"/>
          <w:sz w:val="24"/>
          <w:szCs w:val="24"/>
        </w:rPr>
      </w:pPr>
      <w:r w:rsidRPr="00206708">
        <w:rPr>
          <w:bCs/>
          <w:noProof w:val="0"/>
          <w:sz w:val="24"/>
          <w:szCs w:val="24"/>
        </w:rPr>
        <w:t>3GPP TSG-RAN WG2 Meeting #</w:t>
      </w:r>
      <w:r w:rsidR="0036459E" w:rsidRPr="00206708">
        <w:rPr>
          <w:bCs/>
          <w:noProof w:val="0"/>
          <w:sz w:val="24"/>
          <w:szCs w:val="24"/>
        </w:rPr>
        <w:t>11</w:t>
      </w:r>
      <w:r w:rsidR="005C7CD5" w:rsidRPr="00206708">
        <w:rPr>
          <w:bCs/>
          <w:noProof w:val="0"/>
          <w:sz w:val="24"/>
          <w:szCs w:val="24"/>
        </w:rPr>
        <w:t>6bis</w:t>
      </w:r>
      <w:r w:rsidR="00244A05" w:rsidRPr="00206708">
        <w:rPr>
          <w:bCs/>
          <w:noProof w:val="0"/>
          <w:sz w:val="24"/>
          <w:szCs w:val="24"/>
        </w:rPr>
        <w:t xml:space="preserve"> Electronic</w:t>
      </w:r>
      <w:r w:rsidRPr="00206708">
        <w:rPr>
          <w:bCs/>
          <w:noProof w:val="0"/>
          <w:sz w:val="24"/>
          <w:szCs w:val="24"/>
        </w:rPr>
        <w:tab/>
      </w:r>
      <w:r w:rsidRPr="001A661A">
        <w:rPr>
          <w:bCs/>
          <w:noProof w:val="0"/>
          <w:sz w:val="24"/>
          <w:szCs w:val="24"/>
        </w:rPr>
        <w:t>R2-</w:t>
      </w:r>
      <w:r w:rsidR="009376CD" w:rsidRPr="001A661A">
        <w:rPr>
          <w:bCs/>
          <w:noProof w:val="0"/>
          <w:sz w:val="24"/>
          <w:szCs w:val="24"/>
        </w:rPr>
        <w:t>2</w:t>
      </w:r>
      <w:r w:rsidR="005C7CD5" w:rsidRPr="001A661A">
        <w:rPr>
          <w:bCs/>
          <w:noProof w:val="0"/>
          <w:sz w:val="24"/>
          <w:szCs w:val="24"/>
        </w:rPr>
        <w:t>2</w:t>
      </w:r>
      <w:r w:rsidR="00C55A12" w:rsidRPr="001A661A">
        <w:rPr>
          <w:bCs/>
          <w:noProof w:val="0"/>
          <w:sz w:val="24"/>
          <w:szCs w:val="24"/>
        </w:rPr>
        <w:t>0</w:t>
      </w:r>
      <w:r w:rsidR="001A661A" w:rsidRPr="008F6314">
        <w:rPr>
          <w:bCs/>
          <w:noProof w:val="0"/>
          <w:sz w:val="24"/>
          <w:szCs w:val="24"/>
        </w:rPr>
        <w:t>1079</w:t>
      </w:r>
    </w:p>
    <w:p w14:paraId="11776FA6" w14:textId="110CEA8D" w:rsidR="00A209D6" w:rsidRPr="00206708" w:rsidRDefault="00A36F5F" w:rsidP="008F6314">
      <w:pPr>
        <w:pStyle w:val="Header"/>
        <w:tabs>
          <w:tab w:val="right" w:pos="9639"/>
        </w:tabs>
        <w:jc w:val="both"/>
        <w:rPr>
          <w:rFonts w:eastAsia="SimSun"/>
          <w:bCs/>
          <w:sz w:val="24"/>
          <w:szCs w:val="24"/>
          <w:lang w:eastAsia="zh-CN"/>
        </w:rPr>
      </w:pPr>
      <w:r w:rsidRPr="00206708">
        <w:rPr>
          <w:rFonts w:eastAsia="SimSun"/>
          <w:bCs/>
          <w:sz w:val="24"/>
          <w:szCs w:val="24"/>
          <w:lang w:eastAsia="zh-CN"/>
        </w:rPr>
        <w:t xml:space="preserve">Elbonia, </w:t>
      </w:r>
      <w:r w:rsidR="005C7CD5" w:rsidRPr="00206708">
        <w:rPr>
          <w:rFonts w:eastAsia="SimSun"/>
          <w:bCs/>
          <w:sz w:val="24"/>
          <w:szCs w:val="24"/>
          <w:lang w:eastAsia="zh-CN"/>
        </w:rPr>
        <w:t>17 – 25 January 2022</w:t>
      </w:r>
      <w:r w:rsidR="00A209D6" w:rsidRPr="00206708">
        <w:rPr>
          <w:rFonts w:eastAsia="SimSun"/>
          <w:noProof w:val="0"/>
          <w:sz w:val="24"/>
          <w:szCs w:val="24"/>
          <w:lang w:eastAsia="zh-CN"/>
        </w:rPr>
        <w:tab/>
      </w:r>
    </w:p>
    <w:p w14:paraId="2E02E5F5" w14:textId="77777777" w:rsidR="00A209D6" w:rsidRPr="00206708" w:rsidRDefault="00A209D6" w:rsidP="008F6314">
      <w:pPr>
        <w:pStyle w:val="Header"/>
        <w:jc w:val="both"/>
        <w:rPr>
          <w:bCs/>
          <w:noProof w:val="0"/>
          <w:sz w:val="24"/>
        </w:rPr>
      </w:pPr>
    </w:p>
    <w:p w14:paraId="403CB9C0" w14:textId="77777777" w:rsidR="00A209D6" w:rsidRPr="00206708" w:rsidRDefault="00A209D6" w:rsidP="008F6314">
      <w:pPr>
        <w:pStyle w:val="Header"/>
        <w:jc w:val="both"/>
        <w:rPr>
          <w:bCs/>
          <w:noProof w:val="0"/>
          <w:sz w:val="24"/>
        </w:rPr>
      </w:pPr>
    </w:p>
    <w:p w14:paraId="310B92C9" w14:textId="3C1BDD86" w:rsidR="00446C3A" w:rsidRPr="00206708" w:rsidRDefault="00446C3A" w:rsidP="008F6314">
      <w:pPr>
        <w:pStyle w:val="CRCoverPage"/>
        <w:tabs>
          <w:tab w:val="left" w:pos="1985"/>
        </w:tabs>
        <w:jc w:val="both"/>
        <w:rPr>
          <w:rFonts w:cs="Arial"/>
          <w:b/>
          <w:bCs/>
          <w:sz w:val="24"/>
          <w:lang w:eastAsia="ja-JP"/>
        </w:rPr>
      </w:pPr>
      <w:r w:rsidRPr="00206708">
        <w:rPr>
          <w:rFonts w:cs="Arial"/>
          <w:b/>
          <w:bCs/>
          <w:sz w:val="24"/>
        </w:rPr>
        <w:t>Agenda item:</w:t>
      </w:r>
      <w:r w:rsidRPr="00206708">
        <w:rPr>
          <w:rFonts w:cs="Arial"/>
          <w:b/>
          <w:bCs/>
          <w:sz w:val="24"/>
        </w:rPr>
        <w:tab/>
      </w:r>
      <w:r w:rsidR="00B13E6F" w:rsidRPr="008C537B">
        <w:rPr>
          <w:rFonts w:cs="Arial"/>
          <w:b/>
          <w:bCs/>
          <w:sz w:val="24"/>
          <w:lang w:eastAsia="ja-JP"/>
        </w:rPr>
        <w:t>8.10.3.</w:t>
      </w:r>
      <w:r w:rsidR="008C537B" w:rsidRPr="008F6314">
        <w:rPr>
          <w:rFonts w:cs="Arial"/>
          <w:b/>
          <w:bCs/>
          <w:sz w:val="24"/>
          <w:lang w:eastAsia="ja-JP"/>
        </w:rPr>
        <w:t>2</w:t>
      </w:r>
    </w:p>
    <w:p w14:paraId="73188B46" w14:textId="77777777" w:rsidR="00446C3A" w:rsidRPr="00206708" w:rsidRDefault="00446C3A" w:rsidP="008F6314">
      <w:pPr>
        <w:tabs>
          <w:tab w:val="left" w:pos="1985"/>
        </w:tabs>
        <w:ind w:left="1985" w:hanging="1985"/>
        <w:jc w:val="both"/>
        <w:rPr>
          <w:rFonts w:ascii="Arial" w:hAnsi="Arial" w:cs="Arial"/>
          <w:b/>
          <w:bCs/>
          <w:sz w:val="24"/>
        </w:rPr>
      </w:pPr>
      <w:r w:rsidRPr="00206708">
        <w:rPr>
          <w:rFonts w:ascii="Arial" w:hAnsi="Arial" w:cs="Arial"/>
          <w:b/>
          <w:bCs/>
          <w:sz w:val="24"/>
        </w:rPr>
        <w:t>Source:</w:t>
      </w:r>
      <w:r w:rsidRPr="00206708">
        <w:rPr>
          <w:rFonts w:ascii="Arial" w:hAnsi="Arial" w:cs="Arial"/>
          <w:b/>
          <w:bCs/>
          <w:sz w:val="24"/>
        </w:rPr>
        <w:tab/>
        <w:t>Nokia, Nokia Shanghai Bell</w:t>
      </w:r>
    </w:p>
    <w:p w14:paraId="553D264F" w14:textId="7E8C10F8" w:rsidR="00446C3A" w:rsidRPr="00206708" w:rsidRDefault="00446C3A" w:rsidP="008F6314">
      <w:pPr>
        <w:ind w:left="1985" w:hanging="1985"/>
        <w:jc w:val="both"/>
        <w:rPr>
          <w:rFonts w:ascii="Arial" w:hAnsi="Arial" w:cs="Arial"/>
          <w:b/>
          <w:bCs/>
          <w:sz w:val="24"/>
        </w:rPr>
      </w:pPr>
      <w:r w:rsidRPr="00206708">
        <w:rPr>
          <w:rFonts w:ascii="Arial" w:hAnsi="Arial" w:cs="Arial"/>
          <w:b/>
          <w:bCs/>
          <w:sz w:val="24"/>
        </w:rPr>
        <w:t>Title:</w:t>
      </w:r>
      <w:r w:rsidRPr="00206708">
        <w:rPr>
          <w:rFonts w:ascii="Arial" w:hAnsi="Arial" w:cs="Arial"/>
          <w:b/>
          <w:bCs/>
          <w:sz w:val="24"/>
        </w:rPr>
        <w:tab/>
      </w:r>
      <w:r w:rsidR="00B13E6F" w:rsidRPr="00206708">
        <w:rPr>
          <w:rFonts w:ascii="Arial" w:hAnsi="Arial" w:cs="Arial"/>
          <w:b/>
          <w:bCs/>
          <w:sz w:val="24"/>
        </w:rPr>
        <w:t xml:space="preserve">On </w:t>
      </w:r>
      <w:r w:rsidR="001A661A">
        <w:rPr>
          <w:rFonts w:ascii="Arial" w:hAnsi="Arial" w:cs="Arial"/>
          <w:b/>
          <w:bCs/>
          <w:sz w:val="24"/>
        </w:rPr>
        <w:t>IDLE</w:t>
      </w:r>
      <w:r w:rsidR="00AB60A7">
        <w:rPr>
          <w:rFonts w:ascii="Arial" w:hAnsi="Arial" w:cs="Arial"/>
          <w:b/>
          <w:bCs/>
          <w:sz w:val="24"/>
        </w:rPr>
        <w:t xml:space="preserve"> mode </w:t>
      </w:r>
      <w:r w:rsidR="001A661A">
        <w:rPr>
          <w:rFonts w:ascii="Arial" w:hAnsi="Arial" w:cs="Arial"/>
          <w:b/>
          <w:bCs/>
          <w:sz w:val="24"/>
        </w:rPr>
        <w:t xml:space="preserve">aspects </w:t>
      </w:r>
      <w:r w:rsidR="00AB60A7">
        <w:rPr>
          <w:rFonts w:ascii="Arial" w:hAnsi="Arial" w:cs="Arial"/>
          <w:b/>
          <w:bCs/>
          <w:sz w:val="24"/>
        </w:rPr>
        <w:t>in</w:t>
      </w:r>
      <w:r w:rsidR="00BD54FF">
        <w:rPr>
          <w:rFonts w:ascii="Arial" w:hAnsi="Arial" w:cs="Arial"/>
          <w:b/>
          <w:bCs/>
          <w:sz w:val="24"/>
        </w:rPr>
        <w:t xml:space="preserve"> Rel-17</w:t>
      </w:r>
      <w:r w:rsidR="00AB60A7">
        <w:rPr>
          <w:rFonts w:ascii="Arial" w:hAnsi="Arial" w:cs="Arial"/>
          <w:b/>
          <w:bCs/>
          <w:sz w:val="24"/>
        </w:rPr>
        <w:t xml:space="preserve"> NTN</w:t>
      </w:r>
    </w:p>
    <w:p w14:paraId="25F387E8" w14:textId="133DE5F5" w:rsidR="00446C3A" w:rsidRPr="00206708" w:rsidRDefault="00446C3A" w:rsidP="008F6314">
      <w:pPr>
        <w:ind w:left="1985" w:hanging="1985"/>
        <w:jc w:val="both"/>
        <w:rPr>
          <w:rFonts w:ascii="Arial" w:hAnsi="Arial" w:cs="Arial"/>
          <w:b/>
          <w:bCs/>
          <w:sz w:val="24"/>
        </w:rPr>
      </w:pPr>
      <w:r w:rsidRPr="00206708">
        <w:rPr>
          <w:rFonts w:ascii="Arial" w:hAnsi="Arial" w:cs="Arial"/>
          <w:b/>
          <w:bCs/>
          <w:sz w:val="24"/>
        </w:rPr>
        <w:t>WID/SID:</w:t>
      </w:r>
      <w:r w:rsidRPr="00206708">
        <w:rPr>
          <w:rFonts w:ascii="Arial" w:hAnsi="Arial" w:cs="Arial"/>
          <w:b/>
          <w:bCs/>
          <w:sz w:val="24"/>
        </w:rPr>
        <w:tab/>
      </w:r>
      <w:r w:rsidR="00B13E6F" w:rsidRPr="00206708">
        <w:rPr>
          <w:rFonts w:ascii="Arial" w:hAnsi="Arial" w:cs="Arial"/>
          <w:b/>
          <w:bCs/>
          <w:sz w:val="24"/>
        </w:rPr>
        <w:t xml:space="preserve">NR_NTN_solutions-Core </w:t>
      </w:r>
      <w:r w:rsidRPr="00206708">
        <w:rPr>
          <w:rFonts w:ascii="Arial" w:hAnsi="Arial" w:cs="Arial"/>
          <w:b/>
          <w:bCs/>
          <w:sz w:val="24"/>
        </w:rPr>
        <w:t xml:space="preserve">- Release </w:t>
      </w:r>
      <w:r w:rsidR="00B13E6F" w:rsidRPr="00206708">
        <w:rPr>
          <w:rFonts w:ascii="Arial" w:hAnsi="Arial" w:cs="Arial"/>
          <w:b/>
          <w:bCs/>
          <w:sz w:val="24"/>
        </w:rPr>
        <w:t>17</w:t>
      </w:r>
    </w:p>
    <w:p w14:paraId="6FEB19D6" w14:textId="77777777" w:rsidR="00446C3A" w:rsidRPr="00206708" w:rsidRDefault="00446C3A" w:rsidP="008F6314">
      <w:pPr>
        <w:tabs>
          <w:tab w:val="left" w:pos="1985"/>
        </w:tabs>
        <w:jc w:val="both"/>
        <w:rPr>
          <w:rFonts w:ascii="Arial" w:hAnsi="Arial" w:cs="Arial"/>
          <w:b/>
          <w:bCs/>
          <w:sz w:val="24"/>
        </w:rPr>
      </w:pPr>
      <w:r w:rsidRPr="00206708">
        <w:rPr>
          <w:rFonts w:ascii="Arial" w:hAnsi="Arial" w:cs="Arial"/>
          <w:b/>
          <w:bCs/>
          <w:sz w:val="24"/>
        </w:rPr>
        <w:t>Document for:</w:t>
      </w:r>
      <w:r w:rsidRPr="00206708">
        <w:rPr>
          <w:rFonts w:ascii="Arial" w:hAnsi="Arial" w:cs="Arial"/>
          <w:b/>
          <w:bCs/>
          <w:sz w:val="24"/>
        </w:rPr>
        <w:tab/>
        <w:t>Discussion and Decision</w:t>
      </w:r>
    </w:p>
    <w:p w14:paraId="294B1FC1" w14:textId="77777777" w:rsidR="00A209D6" w:rsidRPr="00206708" w:rsidRDefault="00A209D6" w:rsidP="008F6314">
      <w:pPr>
        <w:pStyle w:val="Heading1"/>
        <w:jc w:val="both"/>
      </w:pPr>
      <w:r w:rsidRPr="00206708">
        <w:t>1</w:t>
      </w:r>
      <w:r w:rsidRPr="00206708">
        <w:tab/>
        <w:t>Introduction</w:t>
      </w:r>
    </w:p>
    <w:p w14:paraId="6A1C87DD" w14:textId="0E52BA04" w:rsidR="00AB60A7" w:rsidRDefault="008C537B" w:rsidP="008F6314">
      <w:pPr>
        <w:jc w:val="both"/>
      </w:pPr>
      <w:r>
        <w:t>This paper aims at resolving the open points for IDLE mode in Rel-17 NTN. The aspects related to the use of location</w:t>
      </w:r>
      <w:r w:rsidR="002C65FC">
        <w:t>, TN-NTN service continuity</w:t>
      </w:r>
      <w:r w:rsidR="00BD54FF">
        <w:t xml:space="preserve"> and the ephemeris</w:t>
      </w:r>
      <w:r>
        <w:t xml:space="preserve"> are discussed in the following sections. </w:t>
      </w:r>
    </w:p>
    <w:p w14:paraId="3414512D" w14:textId="77777777" w:rsidR="007B0CA9" w:rsidRDefault="00AB60A7" w:rsidP="008F6314">
      <w:pPr>
        <w:pStyle w:val="Heading1"/>
        <w:jc w:val="both"/>
      </w:pPr>
      <w:r>
        <w:t>2</w:t>
      </w:r>
      <w:r w:rsidRPr="00206708">
        <w:tab/>
      </w:r>
      <w:r w:rsidR="007B0CA9">
        <w:t>Location Assistance in idle mode</w:t>
      </w:r>
    </w:p>
    <w:p w14:paraId="03390FC5" w14:textId="4CEEA7CE" w:rsidR="00C4002E" w:rsidRPr="004D74FE" w:rsidRDefault="00C4002E" w:rsidP="008F6314">
      <w:pPr>
        <w:keepLines/>
        <w:jc w:val="both"/>
        <w:rPr>
          <w:color w:val="FF0000"/>
          <w:lang w:eastAsia="zh-CN"/>
        </w:rPr>
      </w:pPr>
      <w:r>
        <w:t>In RAN2#116e it was agreed that</w:t>
      </w:r>
      <w:r w:rsidR="002D1A49">
        <w:t>:</w:t>
      </w:r>
    </w:p>
    <w:p w14:paraId="6A833A8D" w14:textId="3F1E9DBB" w:rsidR="00C543DE" w:rsidRPr="004D74FE" w:rsidRDefault="00C543DE" w:rsidP="008F6314">
      <w:pPr>
        <w:keepLines/>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color w:val="FF0000"/>
          <w:lang w:eastAsia="zh-CN"/>
        </w:rPr>
      </w:pPr>
      <w:r w:rsidRPr="00F93F95">
        <w:t xml:space="preserve">Location assisted cell reselection, with the distance between UE and the reference location of the cell (serving cell and/or neighbor cell) taken into account, is supported for quasi-earth fixed cell. </w:t>
      </w:r>
      <w:r>
        <w:t xml:space="preserve">It is </w:t>
      </w:r>
      <w:r w:rsidRPr="00F93F95">
        <w:t>FFS on how UE performs location acquisition.</w:t>
      </w:r>
      <w:r>
        <w:t xml:space="preserve"> </w:t>
      </w:r>
      <w:r w:rsidRPr="00127645">
        <w:t>When UE uses location based cell reselection enhancements, it's up to UE implementation to guarantee that a valid location information is available</w:t>
      </w:r>
      <w:r>
        <w:rPr>
          <w:rFonts w:hint="eastAsia"/>
          <w:lang w:eastAsia="zh-CN"/>
        </w:rPr>
        <w:t>.</w:t>
      </w:r>
    </w:p>
    <w:p w14:paraId="514FB3A8" w14:textId="1CEC148E" w:rsidR="00557D52" w:rsidRPr="002F4B7C" w:rsidRDefault="00557D52" w:rsidP="008F6314">
      <w:pPr>
        <w:keepLines/>
        <w:jc w:val="both"/>
        <w:rPr>
          <w:lang w:eastAsia="zh-CN"/>
        </w:rPr>
      </w:pPr>
      <w:r w:rsidRPr="004D74FE">
        <w:rPr>
          <w:lang w:eastAsia="zh-CN"/>
        </w:rPr>
        <w:t>As there are requirements on radio measurement</w:t>
      </w:r>
      <w:r w:rsidR="004D74FE">
        <w:rPr>
          <w:lang w:eastAsia="zh-CN"/>
        </w:rPr>
        <w:t>s accuracy</w:t>
      </w:r>
      <w:r w:rsidRPr="008F6314">
        <w:rPr>
          <w:lang w:eastAsia="zh-CN"/>
        </w:rPr>
        <w:t xml:space="preserve"> in idle mode, it is logical to specify requirements for location acquisition as well. In order to avoid that a stationary UE </w:t>
      </w:r>
      <w:r w:rsidR="004D74FE">
        <w:rPr>
          <w:lang w:eastAsia="zh-CN"/>
        </w:rPr>
        <w:t>updates</w:t>
      </w:r>
      <w:r w:rsidRPr="008F6314">
        <w:rPr>
          <w:lang w:eastAsia="zh-CN"/>
        </w:rPr>
        <w:t xml:space="preserve"> its </w:t>
      </w:r>
      <w:r w:rsidR="002F4B7C" w:rsidRPr="008F6314">
        <w:rPr>
          <w:lang w:eastAsia="zh-CN"/>
        </w:rPr>
        <w:t>position unnecessar</w:t>
      </w:r>
      <w:r w:rsidR="004D74FE">
        <w:rPr>
          <w:lang w:eastAsia="zh-CN"/>
        </w:rPr>
        <w:t>il</w:t>
      </w:r>
      <w:r w:rsidR="002F4B7C" w:rsidRPr="004D74FE">
        <w:rPr>
          <w:lang w:eastAsia="zh-CN"/>
        </w:rPr>
        <w:t xml:space="preserve">y often, </w:t>
      </w:r>
      <w:r w:rsidR="004D0A84">
        <w:rPr>
          <w:lang w:eastAsia="zh-CN"/>
        </w:rPr>
        <w:t xml:space="preserve">the measurement requirements </w:t>
      </w:r>
      <w:r w:rsidR="002F4B7C" w:rsidRPr="004D74FE">
        <w:rPr>
          <w:lang w:eastAsia="zh-CN"/>
        </w:rPr>
        <w:t xml:space="preserve">should </w:t>
      </w:r>
      <w:r w:rsidR="004D0A84">
        <w:rPr>
          <w:lang w:eastAsia="zh-CN"/>
        </w:rPr>
        <w:t>include</w:t>
      </w:r>
      <w:r w:rsidR="002F4B7C" w:rsidRPr="004D74FE">
        <w:rPr>
          <w:lang w:eastAsia="zh-CN"/>
        </w:rPr>
        <w:t xml:space="preserve"> the accuracy of the position. </w:t>
      </w:r>
      <w:r w:rsidR="002F4B7C" w:rsidRPr="002F4B7C">
        <w:rPr>
          <w:lang w:eastAsia="zh-CN"/>
        </w:rPr>
        <w:t>If this accuracy is fulfilled, the rest is up to UE implementation.</w:t>
      </w:r>
    </w:p>
    <w:p w14:paraId="103DE391" w14:textId="27DD59F6" w:rsidR="00444004" w:rsidRDefault="00444004" w:rsidP="008F6314">
      <w:pPr>
        <w:keepLines/>
        <w:jc w:val="both"/>
        <w:rPr>
          <w:b/>
          <w:bCs/>
          <w:lang w:eastAsia="zh-CN"/>
        </w:rPr>
      </w:pPr>
      <w:r w:rsidRPr="002F4B7C">
        <w:rPr>
          <w:b/>
          <w:bCs/>
          <w:lang w:eastAsia="zh-CN"/>
        </w:rPr>
        <w:t>Proposal 1: RAN2 not to specify how the UE performs location acquisition</w:t>
      </w:r>
      <w:r w:rsidR="002F4B7C" w:rsidRPr="002F4B7C">
        <w:rPr>
          <w:b/>
          <w:bCs/>
          <w:lang w:eastAsia="zh-CN"/>
        </w:rPr>
        <w:t xml:space="preserve"> as long as </w:t>
      </w:r>
      <w:r w:rsidR="002C65FC">
        <w:rPr>
          <w:b/>
          <w:bCs/>
          <w:lang w:eastAsia="zh-CN"/>
        </w:rPr>
        <w:t>the</w:t>
      </w:r>
      <w:r w:rsidR="002F4B7C" w:rsidRPr="002F4B7C">
        <w:rPr>
          <w:b/>
          <w:bCs/>
          <w:lang w:eastAsia="zh-CN"/>
        </w:rPr>
        <w:t xml:space="preserve"> minimum accuracy</w:t>
      </w:r>
      <w:r w:rsidR="00EF060F">
        <w:rPr>
          <w:b/>
          <w:bCs/>
          <w:lang w:eastAsia="zh-CN"/>
        </w:rPr>
        <w:t>, which is to be defined by RAN4,</w:t>
      </w:r>
      <w:r w:rsidR="002F4B7C" w:rsidRPr="002F4B7C">
        <w:rPr>
          <w:b/>
          <w:bCs/>
          <w:lang w:eastAsia="zh-CN"/>
        </w:rPr>
        <w:t xml:space="preserve"> is fulfilled</w:t>
      </w:r>
      <w:r w:rsidRPr="002F4B7C">
        <w:rPr>
          <w:b/>
          <w:bCs/>
          <w:lang w:eastAsia="zh-CN"/>
        </w:rPr>
        <w:t>.</w:t>
      </w:r>
    </w:p>
    <w:p w14:paraId="00148D14" w14:textId="70F7F0CC" w:rsidR="002F4B7C" w:rsidRPr="00B20938" w:rsidRDefault="002F4B7C" w:rsidP="008F6314">
      <w:pPr>
        <w:keepLines/>
        <w:jc w:val="both"/>
        <w:rPr>
          <w:lang w:eastAsia="zh-CN"/>
        </w:rPr>
      </w:pPr>
      <w:r w:rsidRPr="00B20938">
        <w:rPr>
          <w:lang w:eastAsia="zh-CN"/>
        </w:rPr>
        <w:t xml:space="preserve">In </w:t>
      </w:r>
      <w:r w:rsidR="007F5C18" w:rsidRPr="00B20938">
        <w:rPr>
          <w:lang w:eastAsia="zh-CN"/>
        </w:rPr>
        <w:t xml:space="preserve">the case of quasi earth fixed cells the location information is only relevant for moving UEs as the cell on Earth is </w:t>
      </w:r>
      <w:r w:rsidR="002C65FC">
        <w:rPr>
          <w:lang w:eastAsia="zh-CN"/>
        </w:rPr>
        <w:t xml:space="preserve">(quasi) </w:t>
      </w:r>
      <w:r w:rsidR="007F5C18" w:rsidRPr="00B20938">
        <w:rPr>
          <w:lang w:eastAsia="zh-CN"/>
        </w:rPr>
        <w:t>fixed</w:t>
      </w:r>
      <w:r w:rsidR="002F6853" w:rsidRPr="00B20938">
        <w:rPr>
          <w:lang w:eastAsia="zh-CN"/>
        </w:rPr>
        <w:t>. Therefore the location information is only needed at the cell border.</w:t>
      </w:r>
    </w:p>
    <w:p w14:paraId="1C00E25F" w14:textId="2557B885" w:rsidR="002F6853" w:rsidRPr="00B20938" w:rsidRDefault="002F6853" w:rsidP="008F6314">
      <w:pPr>
        <w:keepLines/>
        <w:jc w:val="both"/>
        <w:rPr>
          <w:b/>
          <w:bCs/>
          <w:lang w:eastAsia="zh-CN"/>
        </w:rPr>
      </w:pPr>
      <w:r w:rsidRPr="00B20938">
        <w:rPr>
          <w:b/>
          <w:bCs/>
          <w:lang w:eastAsia="zh-CN"/>
        </w:rPr>
        <w:t xml:space="preserve">Observation 1: Location information for quasi </w:t>
      </w:r>
      <w:r w:rsidR="00D80A51" w:rsidRPr="00B20938">
        <w:rPr>
          <w:b/>
          <w:bCs/>
          <w:lang w:eastAsia="zh-CN"/>
        </w:rPr>
        <w:t>E</w:t>
      </w:r>
      <w:r w:rsidRPr="00B20938">
        <w:rPr>
          <w:b/>
          <w:bCs/>
          <w:lang w:eastAsia="zh-CN"/>
        </w:rPr>
        <w:t>art</w:t>
      </w:r>
      <w:r w:rsidR="00D80A51" w:rsidRPr="00B20938">
        <w:rPr>
          <w:b/>
          <w:bCs/>
          <w:lang w:eastAsia="zh-CN"/>
        </w:rPr>
        <w:t>h</w:t>
      </w:r>
      <w:r w:rsidRPr="00B20938">
        <w:rPr>
          <w:b/>
          <w:bCs/>
          <w:lang w:eastAsia="zh-CN"/>
        </w:rPr>
        <w:t xml:space="preserve"> fixed cells is only r</w:t>
      </w:r>
      <w:r w:rsidR="003259E4" w:rsidRPr="00B20938">
        <w:rPr>
          <w:b/>
          <w:bCs/>
          <w:lang w:eastAsia="zh-CN"/>
        </w:rPr>
        <w:t>e</w:t>
      </w:r>
      <w:r w:rsidRPr="00B20938">
        <w:rPr>
          <w:b/>
          <w:bCs/>
          <w:lang w:eastAsia="zh-CN"/>
        </w:rPr>
        <w:t>leva</w:t>
      </w:r>
      <w:r w:rsidR="003259E4" w:rsidRPr="00B20938">
        <w:rPr>
          <w:b/>
          <w:bCs/>
          <w:lang w:eastAsia="zh-CN"/>
        </w:rPr>
        <w:t>n</w:t>
      </w:r>
      <w:r w:rsidRPr="00B20938">
        <w:rPr>
          <w:b/>
          <w:bCs/>
          <w:lang w:eastAsia="zh-CN"/>
        </w:rPr>
        <w:t xml:space="preserve">t for moving UEs and only needed at the cell border. </w:t>
      </w:r>
    </w:p>
    <w:p w14:paraId="1F8FABFB" w14:textId="50F86FB5" w:rsidR="002F6853" w:rsidRPr="00B20938" w:rsidRDefault="00D80A51" w:rsidP="008F6314">
      <w:pPr>
        <w:keepLines/>
        <w:jc w:val="both"/>
        <w:rPr>
          <w:lang w:eastAsia="zh-CN"/>
        </w:rPr>
      </w:pPr>
      <w:r w:rsidRPr="00B20938">
        <w:rPr>
          <w:lang w:eastAsia="zh-CN"/>
        </w:rPr>
        <w:t>Therefore,</w:t>
      </w:r>
      <w:r w:rsidR="002F6853" w:rsidRPr="00B20938">
        <w:rPr>
          <w:lang w:eastAsia="zh-CN"/>
        </w:rPr>
        <w:t xml:space="preserve"> </w:t>
      </w:r>
      <w:r w:rsidR="00C863F9" w:rsidRPr="00B20938">
        <w:rPr>
          <w:lang w:eastAsia="zh-CN"/>
        </w:rPr>
        <w:t>to</w:t>
      </w:r>
      <w:r w:rsidR="002F6853" w:rsidRPr="00B20938">
        <w:rPr>
          <w:lang w:eastAsia="zh-CN"/>
        </w:rPr>
        <w:t xml:space="preserve"> lower the burden on the UE</w:t>
      </w:r>
      <w:r w:rsidR="002C65FC">
        <w:rPr>
          <w:lang w:eastAsia="zh-CN"/>
        </w:rPr>
        <w:t>,</w:t>
      </w:r>
      <w:r w:rsidR="002F6853" w:rsidRPr="00B20938">
        <w:rPr>
          <w:lang w:eastAsia="zh-CN"/>
        </w:rPr>
        <w:t xml:space="preserve"> the location information </w:t>
      </w:r>
      <w:r w:rsidR="003259E4" w:rsidRPr="00B20938">
        <w:rPr>
          <w:lang w:eastAsia="zh-CN"/>
        </w:rPr>
        <w:t xml:space="preserve">acquisition </w:t>
      </w:r>
      <w:r w:rsidRPr="00B20938">
        <w:rPr>
          <w:lang w:eastAsia="zh-CN"/>
        </w:rPr>
        <w:t xml:space="preserve">frequency or required accuracy can be </w:t>
      </w:r>
      <w:r w:rsidR="002C65FC">
        <w:rPr>
          <w:lang w:eastAsia="zh-CN"/>
        </w:rPr>
        <w:t>reduced</w:t>
      </w:r>
      <w:r w:rsidRPr="00B20938">
        <w:rPr>
          <w:lang w:eastAsia="zh-CN"/>
        </w:rPr>
        <w:t xml:space="preserve"> when close to the cell </w:t>
      </w:r>
      <w:r w:rsidR="00C863F9" w:rsidRPr="00B20938">
        <w:rPr>
          <w:lang w:eastAsia="zh-CN"/>
        </w:rPr>
        <w:t>centre</w:t>
      </w:r>
      <w:r w:rsidRPr="00B20938">
        <w:rPr>
          <w:lang w:eastAsia="zh-CN"/>
        </w:rPr>
        <w:t>.</w:t>
      </w:r>
    </w:p>
    <w:p w14:paraId="62D7AA7A" w14:textId="33C9CA1A" w:rsidR="00D80A51" w:rsidRDefault="00D80A51" w:rsidP="008F6314">
      <w:pPr>
        <w:keepLines/>
        <w:jc w:val="both"/>
        <w:rPr>
          <w:b/>
          <w:bCs/>
          <w:lang w:eastAsia="zh-CN"/>
        </w:rPr>
      </w:pPr>
      <w:r w:rsidRPr="008F6314">
        <w:rPr>
          <w:b/>
          <w:bCs/>
          <w:lang w:eastAsia="zh-CN"/>
        </w:rPr>
        <w:t xml:space="preserve">Proposal 2: The required minimum accuracy for location </w:t>
      </w:r>
      <w:r w:rsidR="00B20938" w:rsidRPr="008F6314">
        <w:rPr>
          <w:b/>
          <w:bCs/>
          <w:lang w:eastAsia="zh-CN"/>
        </w:rPr>
        <w:t>information for quasi Ea</w:t>
      </w:r>
      <w:r w:rsidR="00C863F9">
        <w:rPr>
          <w:b/>
          <w:bCs/>
          <w:lang w:eastAsia="zh-CN"/>
        </w:rPr>
        <w:t>r</w:t>
      </w:r>
      <w:r w:rsidR="00B20938" w:rsidRPr="008F6314">
        <w:rPr>
          <w:b/>
          <w:bCs/>
          <w:lang w:eastAsia="zh-CN"/>
        </w:rPr>
        <w:t xml:space="preserve">th fixed cell can be lower in the cell </w:t>
      </w:r>
      <w:r w:rsidR="00C863F9" w:rsidRPr="00C863F9">
        <w:rPr>
          <w:b/>
          <w:bCs/>
          <w:lang w:eastAsia="zh-CN"/>
        </w:rPr>
        <w:t>centre</w:t>
      </w:r>
      <w:r w:rsidR="00B20938" w:rsidRPr="008F6314">
        <w:rPr>
          <w:b/>
          <w:bCs/>
          <w:lang w:eastAsia="zh-CN"/>
        </w:rPr>
        <w:t xml:space="preserve"> then at the cell border.</w:t>
      </w:r>
    </w:p>
    <w:p w14:paraId="72A6E623" w14:textId="5D6BAEB5" w:rsidR="007D4D3A" w:rsidRDefault="007D4D3A" w:rsidP="008F6314">
      <w:pPr>
        <w:keepLines/>
        <w:jc w:val="both"/>
        <w:rPr>
          <w:lang w:eastAsia="zh-CN"/>
        </w:rPr>
      </w:pPr>
      <w:r>
        <w:rPr>
          <w:lang w:eastAsia="zh-CN"/>
        </w:rPr>
        <w:t xml:space="preserve">At the same time location information can also be </w:t>
      </w:r>
      <w:r w:rsidR="007C0EE8">
        <w:rPr>
          <w:lang w:eastAsia="zh-CN"/>
        </w:rPr>
        <w:t>used for earth moving cells</w:t>
      </w:r>
      <w:r w:rsidR="00095CBB">
        <w:rPr>
          <w:lang w:eastAsia="zh-CN"/>
        </w:rPr>
        <w:t xml:space="preserve"> </w:t>
      </w:r>
      <w:r w:rsidR="003B64AD">
        <w:rPr>
          <w:lang w:eastAsia="zh-CN"/>
        </w:rPr>
        <w:t xml:space="preserve">as agreed for connected mode mobility </w:t>
      </w:r>
      <w:r w:rsidR="00095CBB">
        <w:rPr>
          <w:lang w:eastAsia="zh-CN"/>
        </w:rPr>
        <w:t>[</w:t>
      </w:r>
      <w:r w:rsidR="003B64AD">
        <w:rPr>
          <w:lang w:eastAsia="zh-CN"/>
        </w:rPr>
        <w:t>1</w:t>
      </w:r>
      <w:r w:rsidR="00095CBB">
        <w:rPr>
          <w:lang w:eastAsia="zh-CN"/>
        </w:rPr>
        <w:t>]</w:t>
      </w:r>
    </w:p>
    <w:p w14:paraId="2CDB0463" w14:textId="62D484E5" w:rsidR="00095CBB" w:rsidRDefault="00095CBB" w:rsidP="008F6314">
      <w:pPr>
        <w:keepLines/>
        <w:jc w:val="both"/>
        <w:rPr>
          <w:b/>
          <w:bCs/>
          <w:lang w:eastAsia="zh-CN"/>
        </w:rPr>
      </w:pPr>
      <w:r w:rsidRPr="00B12C3B">
        <w:rPr>
          <w:b/>
          <w:bCs/>
          <w:lang w:eastAsia="zh-CN"/>
        </w:rPr>
        <w:t xml:space="preserve">Proposal </w:t>
      </w:r>
      <w:r>
        <w:rPr>
          <w:b/>
          <w:bCs/>
          <w:lang w:eastAsia="zh-CN"/>
        </w:rPr>
        <w:t>3</w:t>
      </w:r>
      <w:r w:rsidRPr="00B12C3B">
        <w:rPr>
          <w:b/>
          <w:bCs/>
          <w:lang w:eastAsia="zh-CN"/>
        </w:rPr>
        <w:t xml:space="preserve">: </w:t>
      </w:r>
      <w:r>
        <w:rPr>
          <w:b/>
          <w:bCs/>
          <w:lang w:eastAsia="zh-CN"/>
        </w:rPr>
        <w:t>Location information should also be considered for Earth moving cells</w:t>
      </w:r>
      <w:r w:rsidR="00724A3C">
        <w:rPr>
          <w:b/>
          <w:bCs/>
          <w:lang w:eastAsia="zh-CN"/>
        </w:rPr>
        <w:t>.</w:t>
      </w:r>
    </w:p>
    <w:p w14:paraId="07EA9387" w14:textId="43D41951" w:rsidR="00CB1F53" w:rsidRDefault="00CB1F53" w:rsidP="008F6314">
      <w:pPr>
        <w:pStyle w:val="Heading1"/>
        <w:jc w:val="both"/>
        <w:rPr>
          <w:lang w:eastAsia="zh-CN"/>
        </w:rPr>
      </w:pPr>
      <w:r>
        <w:rPr>
          <w:lang w:eastAsia="zh-CN"/>
        </w:rPr>
        <w:t>3</w:t>
      </w:r>
      <w:r w:rsidR="002C65FC">
        <w:rPr>
          <w:lang w:eastAsia="zh-CN"/>
        </w:rPr>
        <w:tab/>
      </w:r>
      <w:r>
        <w:rPr>
          <w:lang w:eastAsia="zh-CN"/>
        </w:rPr>
        <w:t>Ephemeris</w:t>
      </w:r>
    </w:p>
    <w:p w14:paraId="47205899" w14:textId="3ADC0647" w:rsidR="009D2AB0" w:rsidRDefault="000A3935" w:rsidP="008F6314">
      <w:pPr>
        <w:keepLines/>
        <w:jc w:val="both"/>
        <w:rPr>
          <w:lang w:eastAsia="zh-CN"/>
        </w:rPr>
      </w:pPr>
      <w:r>
        <w:rPr>
          <w:lang w:eastAsia="zh-CN"/>
        </w:rPr>
        <w:t>F</w:t>
      </w:r>
      <w:r w:rsidR="00095CBB">
        <w:rPr>
          <w:lang w:eastAsia="zh-CN"/>
        </w:rPr>
        <w:t xml:space="preserve">or UE to use the location information both the </w:t>
      </w:r>
      <w:r w:rsidR="00656BB1">
        <w:rPr>
          <w:lang w:eastAsia="zh-CN"/>
        </w:rPr>
        <w:t xml:space="preserve">ephemeris of the serving and the </w:t>
      </w:r>
      <w:r w:rsidR="0086567B">
        <w:rPr>
          <w:lang w:eastAsia="zh-CN"/>
        </w:rPr>
        <w:t>neighbouring</w:t>
      </w:r>
      <w:r w:rsidR="00656BB1">
        <w:rPr>
          <w:lang w:eastAsia="zh-CN"/>
        </w:rPr>
        <w:t xml:space="preserve"> cells need to be known.</w:t>
      </w:r>
      <w:r w:rsidR="009D2AB0">
        <w:rPr>
          <w:lang w:eastAsia="zh-CN"/>
        </w:rPr>
        <w:t xml:space="preserve"> At RAN2#113 the following has been agreed:</w:t>
      </w:r>
    </w:p>
    <w:tbl>
      <w:tblPr>
        <w:tblStyle w:val="TableGrid"/>
        <w:tblW w:w="0" w:type="auto"/>
        <w:tblInd w:w="284" w:type="dxa"/>
        <w:tblLook w:val="04A0" w:firstRow="1" w:lastRow="0" w:firstColumn="1" w:lastColumn="0" w:noHBand="0" w:noVBand="1"/>
      </w:tblPr>
      <w:tblGrid>
        <w:gridCol w:w="9347"/>
      </w:tblGrid>
      <w:tr w:rsidR="009D2AB0" w14:paraId="7F2E2FCF" w14:textId="77777777" w:rsidTr="009D2AB0">
        <w:tc>
          <w:tcPr>
            <w:tcW w:w="9631" w:type="dxa"/>
          </w:tcPr>
          <w:p w14:paraId="280952DA" w14:textId="77777777" w:rsidR="009D2AB0" w:rsidRPr="00885A4A" w:rsidRDefault="009D2AB0" w:rsidP="008F6314">
            <w:pPr>
              <w:jc w:val="both"/>
            </w:pPr>
            <w:r w:rsidRPr="00885A4A">
              <w:t>Agreements:</w:t>
            </w:r>
          </w:p>
          <w:p w14:paraId="08BC4C91" w14:textId="77777777" w:rsidR="009D2AB0" w:rsidRPr="00885A4A" w:rsidRDefault="009D2AB0" w:rsidP="008F6314">
            <w:pPr>
              <w:jc w:val="both"/>
            </w:pPr>
            <w:r w:rsidRPr="00885A4A">
              <w:lastRenderedPageBreak/>
              <w:t>1.</w:t>
            </w:r>
            <w:r w:rsidRPr="00885A4A">
              <w:tab/>
              <w:t xml:space="preserve">The NTN ephemeris is divided into serving cell’s ephemeris and neighbour’s ephemeris. FFS how would they differ regarding e.g. the required accuracy or signalling impact.    </w:t>
            </w:r>
          </w:p>
          <w:p w14:paraId="7C345858" w14:textId="7C6942E2" w:rsidR="009D2AB0" w:rsidRDefault="009D2AB0" w:rsidP="008F6314">
            <w:pPr>
              <w:jc w:val="both"/>
            </w:pPr>
            <w:r w:rsidRPr="00885A4A">
              <w:t>2.</w:t>
            </w:r>
            <w:r w:rsidRPr="00885A4A">
              <w:tab/>
              <w:t xml:space="preserve">Consider pre-configuration in uSIM, NAS, SIB and RRC signalling for providing the NTN ephemeris. Further discussion depends on the agreed ephemeris contents.  </w:t>
            </w:r>
          </w:p>
        </w:tc>
      </w:tr>
    </w:tbl>
    <w:p w14:paraId="781961D8" w14:textId="77777777" w:rsidR="009D2AB0" w:rsidRDefault="009D2AB0" w:rsidP="008F6314">
      <w:pPr>
        <w:keepLines/>
        <w:ind w:left="284"/>
        <w:jc w:val="both"/>
        <w:rPr>
          <w:lang w:eastAsia="zh-CN"/>
        </w:rPr>
      </w:pPr>
    </w:p>
    <w:p w14:paraId="02E4FDF5" w14:textId="25E9A112" w:rsidR="002E371F" w:rsidRPr="00555775" w:rsidRDefault="0086567B" w:rsidP="008F6314">
      <w:pPr>
        <w:keepLines/>
        <w:ind w:left="284"/>
        <w:jc w:val="both"/>
      </w:pPr>
      <w:r>
        <w:rPr>
          <w:lang w:eastAsia="zh-CN"/>
        </w:rPr>
        <w:t xml:space="preserve"> </w:t>
      </w:r>
      <w:r w:rsidR="002E371F">
        <w:t>At RAN1#107e the following agreement was made on ephemeris for NR NTN L1 pre-compensation.</w:t>
      </w:r>
    </w:p>
    <w:tbl>
      <w:tblPr>
        <w:tblStyle w:val="TableGrid"/>
        <w:tblW w:w="9128" w:type="dxa"/>
        <w:tblInd w:w="405" w:type="dxa"/>
        <w:tblLook w:val="04A0" w:firstRow="1" w:lastRow="0" w:firstColumn="1" w:lastColumn="0" w:noHBand="0" w:noVBand="1"/>
      </w:tblPr>
      <w:tblGrid>
        <w:gridCol w:w="9128"/>
      </w:tblGrid>
      <w:tr w:rsidR="002E371F" w14:paraId="7D2325B5" w14:textId="77777777" w:rsidTr="008F6314">
        <w:trPr>
          <w:trHeight w:val="5772"/>
        </w:trPr>
        <w:tc>
          <w:tcPr>
            <w:tcW w:w="9128" w:type="dxa"/>
          </w:tcPr>
          <w:p w14:paraId="25EF5DD2" w14:textId="4EACE34C" w:rsidR="002E371F" w:rsidRDefault="002E371F" w:rsidP="008F6314">
            <w:pPr>
              <w:spacing w:after="0"/>
              <w:jc w:val="both"/>
            </w:pPr>
            <w:r>
              <w:t>RAN1 #107 agreement:</w:t>
            </w:r>
          </w:p>
          <w:p w14:paraId="5998B14D" w14:textId="77777777" w:rsidR="0086567B" w:rsidRDefault="0086567B" w:rsidP="008F6314">
            <w:pPr>
              <w:spacing w:after="0"/>
              <w:jc w:val="both"/>
            </w:pPr>
          </w:p>
          <w:p w14:paraId="6AEF1582" w14:textId="77777777" w:rsidR="002E371F" w:rsidRPr="00555775" w:rsidRDefault="002E371F" w:rsidP="008F6314">
            <w:pPr>
              <w:spacing w:after="0"/>
              <w:jc w:val="both"/>
              <w:rPr>
                <w:lang w:val="en-US"/>
              </w:rPr>
            </w:pPr>
            <w:r w:rsidRPr="00555775">
              <w:t>Confirm the working assumption made at RAN1#106-bis-e on serving satellite ephemeris bit allocations for LEO/MEO/GEO based non-terrestrial access network:</w:t>
            </w:r>
          </w:p>
          <w:p w14:paraId="7119135C" w14:textId="77777777" w:rsidR="002E371F" w:rsidRPr="00555775" w:rsidRDefault="002E371F" w:rsidP="008F6314">
            <w:pPr>
              <w:numPr>
                <w:ilvl w:val="0"/>
                <w:numId w:val="16"/>
              </w:numPr>
              <w:spacing w:after="0"/>
              <w:jc w:val="both"/>
              <w:rPr>
                <w:lang w:val="en-US"/>
              </w:rPr>
            </w:pPr>
            <w:r w:rsidRPr="00555775">
              <w:t>Support serving satellite ephemeris format bit allocations for LEO/MEO/GEO based non-terrestrial access network:</w:t>
            </w:r>
          </w:p>
          <w:p w14:paraId="6A08A96E" w14:textId="77777777" w:rsidR="002E371F" w:rsidRPr="00555775" w:rsidRDefault="002E371F" w:rsidP="008F6314">
            <w:pPr>
              <w:numPr>
                <w:ilvl w:val="1"/>
                <w:numId w:val="16"/>
              </w:numPr>
              <w:spacing w:after="0"/>
              <w:jc w:val="both"/>
              <w:rPr>
                <w:lang w:val="en-US"/>
              </w:rPr>
            </w:pPr>
            <w:r w:rsidRPr="00555775">
              <w:t xml:space="preserve">Position and velocity state vector ephemeris format is 17 bytes payload. </w:t>
            </w:r>
          </w:p>
          <w:p w14:paraId="6958C849" w14:textId="77777777" w:rsidR="002E371F" w:rsidRPr="00555775" w:rsidRDefault="002E371F" w:rsidP="008F6314">
            <w:pPr>
              <w:numPr>
                <w:ilvl w:val="2"/>
                <w:numId w:val="16"/>
              </w:numPr>
              <w:spacing w:after="0"/>
              <w:jc w:val="both"/>
              <w:rPr>
                <w:lang w:val="en-US"/>
              </w:rPr>
            </w:pPr>
            <w:r w:rsidRPr="00555775">
              <w:t>The field size for position (m) is 78 bits</w:t>
            </w:r>
          </w:p>
          <w:p w14:paraId="0E0884DF" w14:textId="77777777" w:rsidR="002E371F" w:rsidRPr="00555775" w:rsidRDefault="002E371F" w:rsidP="008F6314">
            <w:pPr>
              <w:numPr>
                <w:ilvl w:val="3"/>
                <w:numId w:val="16"/>
              </w:numPr>
              <w:spacing w:after="0"/>
              <w:jc w:val="both"/>
              <w:rPr>
                <w:lang w:val="en-US"/>
              </w:rPr>
            </w:pPr>
            <w:r w:rsidRPr="00555775">
              <w:t>Position range is driven by GEO : +/- 42 200 km</w:t>
            </w:r>
          </w:p>
          <w:p w14:paraId="77DE0526" w14:textId="77777777" w:rsidR="002E371F" w:rsidRPr="00555775" w:rsidRDefault="002E371F" w:rsidP="008F6314">
            <w:pPr>
              <w:numPr>
                <w:ilvl w:val="3"/>
                <w:numId w:val="16"/>
              </w:numPr>
              <w:spacing w:after="0"/>
              <w:jc w:val="both"/>
              <w:rPr>
                <w:lang w:val="en-US"/>
              </w:rPr>
            </w:pPr>
            <w:r w:rsidRPr="00555775">
              <w:t>The quantization step is 1.3m for position</w:t>
            </w:r>
          </w:p>
          <w:p w14:paraId="1B786E1B" w14:textId="77777777" w:rsidR="002E371F" w:rsidRPr="00555775" w:rsidRDefault="002E371F" w:rsidP="008F6314">
            <w:pPr>
              <w:numPr>
                <w:ilvl w:val="2"/>
                <w:numId w:val="16"/>
              </w:numPr>
              <w:spacing w:after="0"/>
              <w:jc w:val="both"/>
              <w:rPr>
                <w:lang w:val="en-US"/>
              </w:rPr>
            </w:pPr>
            <w:r w:rsidRPr="00555775">
              <w:t>The field size for velocity (m/s) is 54 bits</w:t>
            </w:r>
          </w:p>
          <w:p w14:paraId="7624B97A" w14:textId="77777777" w:rsidR="002E371F" w:rsidRPr="00555775" w:rsidRDefault="002E371F" w:rsidP="008F6314">
            <w:pPr>
              <w:numPr>
                <w:ilvl w:val="3"/>
                <w:numId w:val="16"/>
              </w:numPr>
              <w:spacing w:after="0"/>
              <w:jc w:val="both"/>
              <w:rPr>
                <w:lang w:val="en-US"/>
              </w:rPr>
            </w:pPr>
            <w:r w:rsidRPr="00555775">
              <w:t>Velocity range is driven by LEO@600 km: +/- 8000 m/s</w:t>
            </w:r>
          </w:p>
          <w:p w14:paraId="79EC7BF2" w14:textId="77777777" w:rsidR="002E371F" w:rsidRPr="00555775" w:rsidRDefault="002E371F" w:rsidP="008F6314">
            <w:pPr>
              <w:numPr>
                <w:ilvl w:val="3"/>
                <w:numId w:val="16"/>
              </w:numPr>
              <w:spacing w:after="0"/>
              <w:jc w:val="both"/>
              <w:rPr>
                <w:lang w:val="en-US"/>
              </w:rPr>
            </w:pPr>
            <w:r w:rsidRPr="00555775">
              <w:t>The quantization step is 0.06 m/s for Velocity</w:t>
            </w:r>
          </w:p>
          <w:p w14:paraId="005BF239" w14:textId="77777777" w:rsidR="002E371F" w:rsidRPr="00555775" w:rsidRDefault="002E371F" w:rsidP="008F6314">
            <w:pPr>
              <w:numPr>
                <w:ilvl w:val="1"/>
                <w:numId w:val="16"/>
              </w:numPr>
              <w:spacing w:after="0"/>
              <w:jc w:val="both"/>
              <w:rPr>
                <w:lang w:val="en-US"/>
              </w:rPr>
            </w:pPr>
            <w:r w:rsidRPr="00555775">
              <w:t>Orbital parameter ephemeris format 18 byte payload</w:t>
            </w:r>
          </w:p>
          <w:p w14:paraId="62681932" w14:textId="77777777" w:rsidR="002E371F" w:rsidRPr="00555775" w:rsidRDefault="002E371F" w:rsidP="008F6314">
            <w:pPr>
              <w:numPr>
                <w:ilvl w:val="2"/>
                <w:numId w:val="16"/>
              </w:numPr>
              <w:spacing w:after="0"/>
              <w:jc w:val="both"/>
              <w:rPr>
                <w:lang w:val="en-US"/>
              </w:rPr>
            </w:pPr>
            <w:r w:rsidRPr="00555775">
              <w:t>Semi-major axis α (m) is 33 bits</w:t>
            </w:r>
          </w:p>
          <w:p w14:paraId="4E9B7E9D" w14:textId="77777777" w:rsidR="002E371F" w:rsidRPr="00555775" w:rsidRDefault="002E371F" w:rsidP="008F6314">
            <w:pPr>
              <w:numPr>
                <w:ilvl w:val="3"/>
                <w:numId w:val="16"/>
              </w:numPr>
              <w:spacing w:after="0"/>
              <w:jc w:val="both"/>
              <w:rPr>
                <w:lang w:val="en-US"/>
              </w:rPr>
            </w:pPr>
            <w:r w:rsidRPr="00555775">
              <w:t>Range: [6500, 43000]km</w:t>
            </w:r>
          </w:p>
          <w:p w14:paraId="3E552108" w14:textId="77777777" w:rsidR="002E371F" w:rsidRPr="00555775" w:rsidRDefault="002E371F" w:rsidP="008F6314">
            <w:pPr>
              <w:numPr>
                <w:ilvl w:val="2"/>
                <w:numId w:val="16"/>
              </w:numPr>
              <w:spacing w:after="0"/>
              <w:jc w:val="both"/>
              <w:rPr>
                <w:lang w:val="en-US"/>
              </w:rPr>
            </w:pPr>
            <w:r w:rsidRPr="00555775">
              <w:t>Eccentricity e is 19 bits</w:t>
            </w:r>
          </w:p>
          <w:p w14:paraId="62E0FB22" w14:textId="77777777" w:rsidR="002E371F" w:rsidRPr="00555775" w:rsidRDefault="002E371F" w:rsidP="008F6314">
            <w:pPr>
              <w:numPr>
                <w:ilvl w:val="3"/>
                <w:numId w:val="16"/>
              </w:numPr>
              <w:spacing w:after="0"/>
              <w:jc w:val="both"/>
              <w:rPr>
                <w:lang w:val="en-US"/>
              </w:rPr>
            </w:pPr>
            <w:r w:rsidRPr="00555775">
              <w:t>Range: ≤ 0.015</w:t>
            </w:r>
          </w:p>
          <w:p w14:paraId="6C0F2F46" w14:textId="77777777" w:rsidR="002E371F" w:rsidRPr="00555775" w:rsidRDefault="002E371F" w:rsidP="008F6314">
            <w:pPr>
              <w:numPr>
                <w:ilvl w:val="2"/>
                <w:numId w:val="16"/>
              </w:numPr>
              <w:spacing w:after="0"/>
              <w:jc w:val="both"/>
              <w:rPr>
                <w:lang w:val="en-US"/>
              </w:rPr>
            </w:pPr>
            <w:r w:rsidRPr="00555775">
              <w:t>Argument of periapsis ω (rad) is 24 bits</w:t>
            </w:r>
          </w:p>
          <w:p w14:paraId="1D958E29" w14:textId="77777777" w:rsidR="002E371F" w:rsidRPr="00555775" w:rsidRDefault="002E371F" w:rsidP="008F6314">
            <w:pPr>
              <w:numPr>
                <w:ilvl w:val="3"/>
                <w:numId w:val="16"/>
              </w:numPr>
              <w:spacing w:after="0"/>
              <w:jc w:val="both"/>
              <w:rPr>
                <w:lang w:val="en-US"/>
              </w:rPr>
            </w:pPr>
            <w:r w:rsidRPr="00555775">
              <w:t>Range: [0, 2π]</w:t>
            </w:r>
          </w:p>
          <w:p w14:paraId="0D7B8CF2" w14:textId="77777777" w:rsidR="002E371F" w:rsidRPr="00555775" w:rsidRDefault="002E371F" w:rsidP="008F6314">
            <w:pPr>
              <w:numPr>
                <w:ilvl w:val="2"/>
                <w:numId w:val="16"/>
              </w:numPr>
              <w:spacing w:after="0"/>
              <w:jc w:val="both"/>
              <w:rPr>
                <w:lang w:val="en-US"/>
              </w:rPr>
            </w:pPr>
            <w:r w:rsidRPr="00555775">
              <w:t>Longitude of ascending node (Ω rad) is 21 bits</w:t>
            </w:r>
          </w:p>
          <w:p w14:paraId="57DACF6B" w14:textId="77777777" w:rsidR="002E371F" w:rsidRPr="00555775" w:rsidRDefault="002E371F" w:rsidP="008F6314">
            <w:pPr>
              <w:numPr>
                <w:ilvl w:val="3"/>
                <w:numId w:val="16"/>
              </w:numPr>
              <w:spacing w:after="0"/>
              <w:jc w:val="both"/>
              <w:rPr>
                <w:lang w:val="en-US"/>
              </w:rPr>
            </w:pPr>
            <w:r w:rsidRPr="00555775">
              <w:t>Range: [0, 2π]</w:t>
            </w:r>
          </w:p>
          <w:p w14:paraId="00541BDC" w14:textId="77777777" w:rsidR="002E371F" w:rsidRPr="00555775" w:rsidRDefault="002E371F" w:rsidP="008F6314">
            <w:pPr>
              <w:numPr>
                <w:ilvl w:val="2"/>
                <w:numId w:val="16"/>
              </w:numPr>
              <w:spacing w:after="0"/>
              <w:jc w:val="both"/>
              <w:rPr>
                <w:lang w:val="en-US"/>
              </w:rPr>
            </w:pPr>
            <w:r w:rsidRPr="00555775">
              <w:t>Inclination i (rad) is 20 bits</w:t>
            </w:r>
          </w:p>
          <w:p w14:paraId="35BD6E2F" w14:textId="77777777" w:rsidR="002E371F" w:rsidRPr="00555775" w:rsidRDefault="002E371F" w:rsidP="008F6314">
            <w:pPr>
              <w:numPr>
                <w:ilvl w:val="3"/>
                <w:numId w:val="16"/>
              </w:numPr>
              <w:spacing w:after="0"/>
              <w:jc w:val="both"/>
              <w:rPr>
                <w:lang w:val="en-US"/>
              </w:rPr>
            </w:pPr>
            <w:r w:rsidRPr="00555775">
              <w:t>Range: [- π/2 , + π/2]</w:t>
            </w:r>
          </w:p>
          <w:p w14:paraId="3F38E1CF" w14:textId="14AFEA51" w:rsidR="002E371F" w:rsidRPr="00555775" w:rsidRDefault="002E371F" w:rsidP="008F6314">
            <w:pPr>
              <w:numPr>
                <w:ilvl w:val="2"/>
                <w:numId w:val="16"/>
              </w:numPr>
              <w:spacing w:after="0"/>
              <w:jc w:val="both"/>
              <w:rPr>
                <w:lang w:val="en-US"/>
              </w:rPr>
            </w:pPr>
            <w:r w:rsidRPr="00555775">
              <w:t>Mean anomaly M (rad) at epoch time to is 24 bits</w:t>
            </w:r>
          </w:p>
          <w:p w14:paraId="043B972C" w14:textId="77777777" w:rsidR="002E371F" w:rsidRPr="00555775" w:rsidRDefault="002E371F" w:rsidP="008F6314">
            <w:pPr>
              <w:numPr>
                <w:ilvl w:val="3"/>
                <w:numId w:val="16"/>
              </w:numPr>
              <w:spacing w:after="0"/>
              <w:jc w:val="both"/>
              <w:rPr>
                <w:lang w:val="en-US"/>
              </w:rPr>
            </w:pPr>
            <w:r w:rsidRPr="00555775">
              <w:t>Range: [0, 2π]</w:t>
            </w:r>
          </w:p>
        </w:tc>
      </w:tr>
    </w:tbl>
    <w:p w14:paraId="486A8FD5" w14:textId="77777777" w:rsidR="002E371F" w:rsidRDefault="002E371F" w:rsidP="008F6314">
      <w:pPr>
        <w:spacing w:after="0"/>
        <w:jc w:val="both"/>
      </w:pPr>
    </w:p>
    <w:p w14:paraId="7E1606C3" w14:textId="0AFE0847" w:rsidR="002B6A24" w:rsidRDefault="002B6A24" w:rsidP="008F6314">
      <w:pPr>
        <w:jc w:val="both"/>
      </w:pPr>
      <w:r>
        <w:t>This gives information about the satellite position, but not of the cells position on earth as a satellite may have many cells</w:t>
      </w:r>
      <w:r w:rsidR="0089519A">
        <w:t>.</w:t>
      </w:r>
      <w:r w:rsidR="006967D7">
        <w:t xml:space="preserve"> This can be indicated through:</w:t>
      </w:r>
    </w:p>
    <w:p w14:paraId="68B9F9F9" w14:textId="1C45E6ED" w:rsidR="006967D7" w:rsidRDefault="009E105F" w:rsidP="008F6314">
      <w:pPr>
        <w:pStyle w:val="ListParagraph"/>
        <w:numPr>
          <w:ilvl w:val="0"/>
          <w:numId w:val="18"/>
        </w:numPr>
        <w:jc w:val="both"/>
      </w:pPr>
      <w:r>
        <w:t>Cell center on earth</w:t>
      </w:r>
      <w:r w:rsidR="00E219B2">
        <w:t xml:space="preserve"> of the relevant cells</w:t>
      </w:r>
      <w:r>
        <w:t xml:space="preserve"> (and potentially </w:t>
      </w:r>
      <w:r w:rsidR="00A92485">
        <w:t xml:space="preserve">cell’s </w:t>
      </w:r>
      <w:r>
        <w:t>radius)</w:t>
      </w:r>
      <w:r w:rsidR="006E408C">
        <w:t>. This can be indicated relative to the nadir of the satellite, which is fixed for earth moving cells</w:t>
      </w:r>
      <w:r w:rsidR="009228CF">
        <w:t xml:space="preserve"> and therefore does not need to be updated.</w:t>
      </w:r>
    </w:p>
    <w:p w14:paraId="0B58435B" w14:textId="64C6867D" w:rsidR="009E105F" w:rsidRDefault="00215D56" w:rsidP="008F6314">
      <w:pPr>
        <w:pStyle w:val="ListParagraph"/>
        <w:numPr>
          <w:ilvl w:val="0"/>
          <w:numId w:val="18"/>
        </w:numPr>
        <w:jc w:val="both"/>
      </w:pPr>
      <w:r>
        <w:t>Beampointing angle from the satellite such the UE can calculate the cell area</w:t>
      </w:r>
      <w:r w:rsidR="00CD3923">
        <w:t>s</w:t>
      </w:r>
      <w:r w:rsidR="009228CF">
        <w:t xml:space="preserve"> based on the satellit</w:t>
      </w:r>
      <w:r w:rsidR="00CD3923">
        <w:t>e ephemeris</w:t>
      </w:r>
      <w:r>
        <w:t>.</w:t>
      </w:r>
    </w:p>
    <w:p w14:paraId="7AB3EBF5" w14:textId="7AA865C5" w:rsidR="00215D56" w:rsidRDefault="00215D56" w:rsidP="008F6314">
      <w:pPr>
        <w:jc w:val="both"/>
      </w:pPr>
      <w:r>
        <w:t xml:space="preserve">Option 1 seems simpler from a </w:t>
      </w:r>
      <w:r w:rsidR="000C6A96">
        <w:t>UE point of view</w:t>
      </w:r>
      <w:r w:rsidR="002D1A49">
        <w:t>.</w:t>
      </w:r>
    </w:p>
    <w:p w14:paraId="6B32FE2C" w14:textId="559F9A05" w:rsidR="000C6A96" w:rsidRDefault="000C6A96" w:rsidP="008F6314">
      <w:pPr>
        <w:jc w:val="both"/>
        <w:rPr>
          <w:b/>
          <w:bCs/>
        </w:rPr>
      </w:pPr>
      <w:r>
        <w:rPr>
          <w:b/>
          <w:bCs/>
        </w:rPr>
        <w:t xml:space="preserve">Proposal 4: RAN2 to </w:t>
      </w:r>
      <w:r w:rsidR="00327C3D">
        <w:rPr>
          <w:b/>
          <w:bCs/>
        </w:rPr>
        <w:t>specify a cell position information based on the center of the cell on earth and potential</w:t>
      </w:r>
      <w:r w:rsidR="001F323D">
        <w:rPr>
          <w:b/>
          <w:bCs/>
        </w:rPr>
        <w:t>ly</w:t>
      </w:r>
      <w:r w:rsidR="00327C3D">
        <w:rPr>
          <w:b/>
          <w:bCs/>
        </w:rPr>
        <w:t xml:space="preserve"> the radius for the serving cells and neighb</w:t>
      </w:r>
      <w:r w:rsidR="00A92485">
        <w:rPr>
          <w:b/>
          <w:bCs/>
        </w:rPr>
        <w:t>ou</w:t>
      </w:r>
      <w:r w:rsidR="00327C3D">
        <w:rPr>
          <w:b/>
          <w:bCs/>
        </w:rPr>
        <w:t>ring cells</w:t>
      </w:r>
      <w:r w:rsidR="00BF3CCC">
        <w:rPr>
          <w:b/>
          <w:bCs/>
        </w:rPr>
        <w:t xml:space="preserve"> plus a timestamp</w:t>
      </w:r>
      <w:r w:rsidR="00327C3D">
        <w:rPr>
          <w:b/>
          <w:bCs/>
        </w:rPr>
        <w:t>.</w:t>
      </w:r>
    </w:p>
    <w:p w14:paraId="6891962F" w14:textId="043E2F50" w:rsidR="00327C3D" w:rsidRDefault="00FE7934" w:rsidP="008F6314">
      <w:pPr>
        <w:jc w:val="both"/>
      </w:pPr>
      <w:r>
        <w:t xml:space="preserve">As the satellites move fast for earth moving cells not all neighbouring cells need to be included, as a UE cannot ‘outrun’ a satellite, so only the information of those neighbouring cells </w:t>
      </w:r>
      <w:r w:rsidR="002C16F6">
        <w:t>opposite to the satellite movement direction need to be included.</w:t>
      </w:r>
    </w:p>
    <w:p w14:paraId="3A51DD6D" w14:textId="7E89CDFE" w:rsidR="002C16F6" w:rsidRDefault="002C16F6" w:rsidP="008F6314">
      <w:pPr>
        <w:jc w:val="both"/>
        <w:rPr>
          <w:b/>
          <w:bCs/>
        </w:rPr>
      </w:pPr>
      <w:r>
        <w:rPr>
          <w:b/>
          <w:bCs/>
        </w:rPr>
        <w:t>Proposal 5: Only those neighboring cells where UE</w:t>
      </w:r>
      <w:r w:rsidR="00A92485">
        <w:rPr>
          <w:b/>
          <w:bCs/>
        </w:rPr>
        <w:t>s</w:t>
      </w:r>
      <w:r>
        <w:rPr>
          <w:b/>
          <w:bCs/>
        </w:rPr>
        <w:t xml:space="preserve"> can handover to should be included in the serving cells SIB.</w:t>
      </w:r>
    </w:p>
    <w:p w14:paraId="11AD5C8C" w14:textId="0ED4E9C3" w:rsidR="002C16F6" w:rsidRDefault="00474181" w:rsidP="008F6314">
      <w:pPr>
        <w:jc w:val="both"/>
      </w:pPr>
      <w:r>
        <w:t>Furthermore,</w:t>
      </w:r>
      <w:r w:rsidR="002C16F6">
        <w:t xml:space="preserve"> as</w:t>
      </w:r>
      <w:r w:rsidR="00BF3CCC">
        <w:t xml:space="preserve"> the UE knows the satellite movement</w:t>
      </w:r>
      <w:r w:rsidR="009D369D">
        <w:t xml:space="preserve">, </w:t>
      </w:r>
      <w:r w:rsidR="00BF3CCC">
        <w:t>the speed and direction of the satellite it can calculate the location at any time</w:t>
      </w:r>
      <w:r w:rsidR="00F84FE4">
        <w:t xml:space="preserve">, so the location information does not need to be updated very often. Similarly for </w:t>
      </w:r>
      <w:r w:rsidR="00835AE4">
        <w:t>quasi Earth fixed cells, where the information is rather static.</w:t>
      </w:r>
    </w:p>
    <w:p w14:paraId="7A79D865" w14:textId="66D0FCED" w:rsidR="002B6A24" w:rsidRDefault="00835AE4" w:rsidP="008F6314">
      <w:pPr>
        <w:jc w:val="both"/>
      </w:pPr>
      <w:r>
        <w:rPr>
          <w:b/>
          <w:bCs/>
        </w:rPr>
        <w:t>Observation 2</w:t>
      </w:r>
      <w:r w:rsidR="009D369D">
        <w:rPr>
          <w:b/>
          <w:bCs/>
        </w:rPr>
        <w:t>:</w:t>
      </w:r>
      <w:r>
        <w:rPr>
          <w:b/>
          <w:bCs/>
        </w:rPr>
        <w:t xml:space="preserve"> the </w:t>
      </w:r>
      <w:r w:rsidR="004A1EFC">
        <w:rPr>
          <w:b/>
          <w:bCs/>
        </w:rPr>
        <w:t xml:space="preserve">cell center </w:t>
      </w:r>
      <w:r>
        <w:rPr>
          <w:b/>
          <w:bCs/>
        </w:rPr>
        <w:t>location information for serving and neighboring cells does not need to be updated often.</w:t>
      </w:r>
    </w:p>
    <w:p w14:paraId="78E66B7F" w14:textId="77777777" w:rsidR="00656BB1" w:rsidRPr="008F6314" w:rsidRDefault="00656BB1" w:rsidP="008F6314">
      <w:pPr>
        <w:keepLines/>
        <w:ind w:left="284"/>
        <w:jc w:val="both"/>
        <w:rPr>
          <w:lang w:eastAsia="zh-CN"/>
        </w:rPr>
      </w:pPr>
    </w:p>
    <w:p w14:paraId="02006AED" w14:textId="399EEA6E" w:rsidR="00AB60A7" w:rsidRDefault="00BD54FF" w:rsidP="004A0212">
      <w:pPr>
        <w:pStyle w:val="Heading1"/>
        <w:jc w:val="both"/>
      </w:pPr>
      <w:r>
        <w:t>4</w:t>
      </w:r>
      <w:r w:rsidR="002C65FC">
        <w:tab/>
      </w:r>
      <w:r w:rsidR="00AB60A7">
        <w:t>TN-NTN service continuity</w:t>
      </w:r>
    </w:p>
    <w:p w14:paraId="6F86047C" w14:textId="5668E883" w:rsidR="00AB60A7" w:rsidRPr="00BC2F73" w:rsidRDefault="00AB60A7" w:rsidP="008F6314">
      <w:pPr>
        <w:jc w:val="both"/>
      </w:pPr>
      <w:r w:rsidRPr="00BC2F73">
        <w:t>In</w:t>
      </w:r>
      <w:r>
        <w:t xml:space="preserve"> [1]</w:t>
      </w:r>
      <w:r w:rsidRPr="00BC2F73">
        <w:t xml:space="preserve"> the following was concluded:</w:t>
      </w:r>
    </w:p>
    <w:p w14:paraId="03670EA6" w14:textId="77777777" w:rsidR="00AB60A7" w:rsidRPr="00BC2F73" w:rsidRDefault="00AB60A7" w:rsidP="008F6314">
      <w:pPr>
        <w:pStyle w:val="ListParagraph"/>
        <w:numPr>
          <w:ilvl w:val="0"/>
          <w:numId w:val="13"/>
        </w:numPr>
        <w:spacing w:after="0" w:line="256" w:lineRule="auto"/>
        <w:contextualSpacing w:val="0"/>
        <w:jc w:val="both"/>
        <w:rPr>
          <w:rFonts w:ascii="Arial" w:hAnsi="Arial" w:cs="Arial"/>
          <w:i/>
          <w:iCs/>
          <w:lang w:val="sv-SE"/>
        </w:rPr>
      </w:pPr>
      <w:r w:rsidRPr="00BC2F73">
        <w:rPr>
          <w:rFonts w:ascii="Arial" w:hAnsi="Arial" w:cs="Arial"/>
          <w:i/>
          <w:iCs/>
          <w:lang w:val="sv-SE"/>
        </w:rPr>
        <w:t>RAN2 continue discussion about Option 2 and 3. FFS details and whether one or both could be supported</w:t>
      </w:r>
    </w:p>
    <w:p w14:paraId="23A9A4B0" w14:textId="77777777" w:rsidR="00AB60A7" w:rsidRPr="00BC2F73" w:rsidRDefault="00AB60A7" w:rsidP="008F6314">
      <w:pPr>
        <w:pStyle w:val="ListParagraph"/>
        <w:numPr>
          <w:ilvl w:val="0"/>
          <w:numId w:val="13"/>
        </w:numPr>
        <w:spacing w:after="0" w:line="256" w:lineRule="auto"/>
        <w:ind w:left="927"/>
        <w:contextualSpacing w:val="0"/>
        <w:jc w:val="both"/>
        <w:rPr>
          <w:rFonts w:ascii="Arial" w:hAnsi="Arial" w:cs="Arial"/>
          <w:i/>
          <w:iCs/>
          <w:lang w:val="sv-SE"/>
        </w:rPr>
      </w:pPr>
      <w:r w:rsidRPr="00BC2F73">
        <w:rPr>
          <w:rFonts w:ascii="Arial" w:hAnsi="Arial" w:cs="Arial"/>
          <w:i/>
          <w:iCs/>
          <w:lang w:val="sv-SE"/>
        </w:rPr>
        <w:t>Option 2 Indicate in system information of TN or NTN cell or both, the need to prioritize TN in the area the NTN/TN cells are covering. FFS, if prioritizing happens in measurement stage, cell ranking, or prior to selecting the suitable cell.</w:t>
      </w:r>
    </w:p>
    <w:p w14:paraId="3E1FB81F" w14:textId="77777777" w:rsidR="00AB60A7" w:rsidRPr="00BC2F73" w:rsidRDefault="00AB60A7" w:rsidP="008F6314">
      <w:pPr>
        <w:pStyle w:val="ListParagraph"/>
        <w:ind w:left="927"/>
        <w:jc w:val="both"/>
        <w:rPr>
          <w:rFonts w:ascii="Arial" w:hAnsi="Arial" w:cs="Arial"/>
          <w:i/>
          <w:iCs/>
          <w:lang w:val="sv-SE"/>
        </w:rPr>
      </w:pPr>
    </w:p>
    <w:p w14:paraId="61E76257" w14:textId="77777777" w:rsidR="00AB60A7" w:rsidRPr="00BC2F73" w:rsidRDefault="00AB60A7" w:rsidP="008F6314">
      <w:pPr>
        <w:pStyle w:val="ListParagraph"/>
        <w:numPr>
          <w:ilvl w:val="0"/>
          <w:numId w:val="13"/>
        </w:numPr>
        <w:spacing w:after="0" w:line="256" w:lineRule="auto"/>
        <w:ind w:left="927"/>
        <w:contextualSpacing w:val="0"/>
        <w:jc w:val="both"/>
        <w:rPr>
          <w:rFonts w:ascii="Arial" w:hAnsi="Arial" w:cs="Arial"/>
          <w:i/>
          <w:iCs/>
          <w:lang w:val="sv-SE"/>
        </w:rPr>
      </w:pPr>
      <w:r w:rsidRPr="00BC2F73">
        <w:rPr>
          <w:rFonts w:ascii="Arial" w:hAnsi="Arial" w:cs="Arial"/>
          <w:i/>
          <w:iCs/>
          <w:lang w:val="sv-SE"/>
        </w:rPr>
        <w:t xml:space="preserve">Option 3 Broadcast in system informtion a TN or NTN specific offset to be applied to RSRP measurement result for cell quality. </w:t>
      </w:r>
    </w:p>
    <w:p w14:paraId="04B47EB9" w14:textId="77777777" w:rsidR="00AB60A7" w:rsidRPr="00BC2F73" w:rsidRDefault="00AB60A7" w:rsidP="008F6314">
      <w:pPr>
        <w:jc w:val="both"/>
        <w:rPr>
          <w:highlight w:val="yellow"/>
          <w:lang w:val="sv-SE"/>
        </w:rPr>
      </w:pPr>
    </w:p>
    <w:p w14:paraId="1B6E2DE4" w14:textId="77777777" w:rsidR="00AB60A7" w:rsidRPr="003B6EC1" w:rsidRDefault="00AB60A7" w:rsidP="008F6314">
      <w:pPr>
        <w:jc w:val="both"/>
      </w:pPr>
      <w:r w:rsidRPr="003B6EC1">
        <w:t xml:space="preserve">It is our understanding that TN and NTN will operate in separate carriers/bands and as we have already expressed in the past using the existing set of priorities for IDLE mode can ensure prioritization of either system. </w:t>
      </w:r>
    </w:p>
    <w:p w14:paraId="6CE33D85" w14:textId="0E7D1268" w:rsidR="00AB60A7" w:rsidRPr="003B6EC1" w:rsidRDefault="00AB60A7" w:rsidP="008F6314">
      <w:pPr>
        <w:jc w:val="both"/>
        <w:rPr>
          <w:b/>
          <w:bCs/>
        </w:rPr>
      </w:pPr>
      <w:r w:rsidRPr="003B6EC1">
        <w:rPr>
          <w:b/>
          <w:bCs/>
        </w:rPr>
        <w:t xml:space="preserve">Proposal </w:t>
      </w:r>
      <w:r w:rsidR="0055495A">
        <w:rPr>
          <w:b/>
          <w:bCs/>
        </w:rPr>
        <w:t>6</w:t>
      </w:r>
      <w:r w:rsidRPr="003B6EC1">
        <w:rPr>
          <w:b/>
          <w:bCs/>
        </w:rPr>
        <w:t>: In Release 17, the legacy priorities for IDLE mode are sufficient for cell reselections between TN and NTN.</w:t>
      </w:r>
    </w:p>
    <w:p w14:paraId="64BC1246" w14:textId="6F37D128" w:rsidR="00AB60A7" w:rsidRDefault="00AB60A7" w:rsidP="008F6314">
      <w:pPr>
        <w:jc w:val="both"/>
      </w:pPr>
      <w:r>
        <w:t>Also, with respect to this area, the following has been proposed by one of the companies:</w:t>
      </w:r>
    </w:p>
    <w:p w14:paraId="1E15E41E" w14:textId="77777777" w:rsidR="00AB60A7" w:rsidRPr="00BC3949" w:rsidRDefault="00AB60A7" w:rsidP="008F6314">
      <w:pPr>
        <w:jc w:val="both"/>
        <w:rPr>
          <w:i/>
          <w:iCs/>
        </w:rPr>
      </w:pPr>
      <w:r w:rsidRPr="00BC3949">
        <w:rPr>
          <w:i/>
          <w:iCs/>
        </w:rPr>
        <w:t>Neighbouring RAT/frequencies/cell from a certain region will be broadcasted in one group, hence a UE has detected neighbours in one group does not need to search neighbours indicated by another group</w:t>
      </w:r>
    </w:p>
    <w:p w14:paraId="48DD20D3" w14:textId="77777777" w:rsidR="00AB60A7" w:rsidRDefault="00AB60A7" w:rsidP="008F6314">
      <w:pPr>
        <w:jc w:val="both"/>
      </w:pPr>
      <w:r>
        <w:t>However, this scenario can be also addressed with the frequency carrier separation and what is suggested in P6.</w:t>
      </w:r>
    </w:p>
    <w:p w14:paraId="664114E5" w14:textId="77777777" w:rsidR="00AB60A7" w:rsidRPr="003B6EC1" w:rsidRDefault="00AB60A7" w:rsidP="008F6314">
      <w:pPr>
        <w:jc w:val="both"/>
      </w:pPr>
      <w:r w:rsidRPr="003B6EC1">
        <w:t xml:space="preserve">Regarding TN-NTN for RRC_CONNECTED, it is simple to decide the same triggers as for intra-NTN can be used. However, it is somewhat weird or even not feasible that the UE will have to monitor the reference location of the target cell, when it wants to handover from NTN to TN cell (i.e. would there be any reference location for the TN cell?). Thus, not all combinations are necessarily needed. </w:t>
      </w:r>
    </w:p>
    <w:p w14:paraId="1C5477D6" w14:textId="2B6AB79C" w:rsidR="00AB60A7" w:rsidRPr="004A0212" w:rsidRDefault="00AB60A7" w:rsidP="008F6314">
      <w:pPr>
        <w:jc w:val="both"/>
        <w:rPr>
          <w:b/>
          <w:bCs/>
        </w:rPr>
      </w:pPr>
      <w:r w:rsidRPr="003B6EC1">
        <w:rPr>
          <w:b/>
          <w:bCs/>
        </w:rPr>
        <w:t xml:space="preserve">Observation </w:t>
      </w:r>
      <w:r w:rsidR="0055495A">
        <w:rPr>
          <w:b/>
          <w:bCs/>
        </w:rPr>
        <w:t>3</w:t>
      </w:r>
      <w:r w:rsidRPr="003B6EC1">
        <w:rPr>
          <w:b/>
          <w:bCs/>
        </w:rPr>
        <w:t xml:space="preserve">: Not all mechanisms defined for intra-NTN mobility are needed for TN-&gt;NTN or NTN-&gt;TN mobility. </w:t>
      </w:r>
    </w:p>
    <w:p w14:paraId="69B7B8E6" w14:textId="28653501" w:rsidR="009339CB" w:rsidRPr="00206708" w:rsidRDefault="00BD54FF" w:rsidP="008F6314">
      <w:pPr>
        <w:pStyle w:val="Heading1"/>
        <w:jc w:val="both"/>
      </w:pPr>
      <w:r>
        <w:t>5</w:t>
      </w:r>
      <w:r w:rsidR="009339CB" w:rsidRPr="00206708">
        <w:tab/>
        <w:t>Conclusion</w:t>
      </w:r>
    </w:p>
    <w:p w14:paraId="6E24B0F4" w14:textId="39968BB7" w:rsidR="009339CB" w:rsidRPr="00206708" w:rsidRDefault="009339CB" w:rsidP="008F6314">
      <w:pPr>
        <w:jc w:val="both"/>
      </w:pPr>
      <w:r w:rsidRPr="00206708">
        <w:t>Th</w:t>
      </w:r>
      <w:r w:rsidR="00F573B0">
        <w:t>e following</w:t>
      </w:r>
      <w:r w:rsidRPr="00206708">
        <w:t xml:space="preserve"> observations</w:t>
      </w:r>
      <w:r w:rsidR="00F573B0">
        <w:t xml:space="preserve"> and proposals have been made in this paper</w:t>
      </w:r>
      <w:r w:rsidRPr="00206708">
        <w:t>:</w:t>
      </w:r>
    </w:p>
    <w:p w14:paraId="395D1CBB" w14:textId="77777777" w:rsidR="00724A3C" w:rsidRDefault="00724A3C" w:rsidP="00724A3C">
      <w:pPr>
        <w:keepLines/>
        <w:jc w:val="both"/>
        <w:rPr>
          <w:b/>
          <w:bCs/>
          <w:lang w:eastAsia="zh-CN"/>
        </w:rPr>
      </w:pPr>
      <w:r w:rsidRPr="002F4B7C">
        <w:rPr>
          <w:b/>
          <w:bCs/>
          <w:lang w:eastAsia="zh-CN"/>
        </w:rPr>
        <w:t xml:space="preserve">Proposal 1: RAN2 not to specify how the UE performs location acquisition as long as </w:t>
      </w:r>
      <w:r>
        <w:rPr>
          <w:b/>
          <w:bCs/>
          <w:lang w:eastAsia="zh-CN"/>
        </w:rPr>
        <w:t>the</w:t>
      </w:r>
      <w:r w:rsidRPr="002F4B7C">
        <w:rPr>
          <w:b/>
          <w:bCs/>
          <w:lang w:eastAsia="zh-CN"/>
        </w:rPr>
        <w:t xml:space="preserve"> minimum accuracy</w:t>
      </w:r>
      <w:r>
        <w:rPr>
          <w:b/>
          <w:bCs/>
          <w:lang w:eastAsia="zh-CN"/>
        </w:rPr>
        <w:t>, which is to be defined by RAN4,</w:t>
      </w:r>
      <w:r w:rsidRPr="002F4B7C">
        <w:rPr>
          <w:b/>
          <w:bCs/>
          <w:lang w:eastAsia="zh-CN"/>
        </w:rPr>
        <w:t xml:space="preserve"> is fulfilled.</w:t>
      </w:r>
    </w:p>
    <w:p w14:paraId="3554C312" w14:textId="77777777" w:rsidR="00724A3C" w:rsidRPr="00B20938" w:rsidRDefault="00724A3C" w:rsidP="00724A3C">
      <w:pPr>
        <w:keepLines/>
        <w:jc w:val="both"/>
        <w:rPr>
          <w:b/>
          <w:bCs/>
          <w:lang w:eastAsia="zh-CN"/>
        </w:rPr>
      </w:pPr>
      <w:r w:rsidRPr="00B20938">
        <w:rPr>
          <w:b/>
          <w:bCs/>
          <w:lang w:eastAsia="zh-CN"/>
        </w:rPr>
        <w:t xml:space="preserve">Observation 1: Location information for quasi Earth fixed cells is only relevant for moving UEs and only needed at the cell border. </w:t>
      </w:r>
    </w:p>
    <w:p w14:paraId="2B5E7C55" w14:textId="77777777" w:rsidR="00724A3C" w:rsidRDefault="00724A3C" w:rsidP="00724A3C">
      <w:pPr>
        <w:keepLines/>
        <w:jc w:val="both"/>
        <w:rPr>
          <w:b/>
          <w:bCs/>
          <w:lang w:eastAsia="zh-CN"/>
        </w:rPr>
      </w:pPr>
      <w:r w:rsidRPr="008F6314">
        <w:rPr>
          <w:b/>
          <w:bCs/>
          <w:lang w:eastAsia="zh-CN"/>
        </w:rPr>
        <w:t>Proposal 2: The required minimum accuracy for location information for quasi Ea</w:t>
      </w:r>
      <w:r>
        <w:rPr>
          <w:b/>
          <w:bCs/>
          <w:lang w:eastAsia="zh-CN"/>
        </w:rPr>
        <w:t>r</w:t>
      </w:r>
      <w:r w:rsidRPr="008F6314">
        <w:rPr>
          <w:b/>
          <w:bCs/>
          <w:lang w:eastAsia="zh-CN"/>
        </w:rPr>
        <w:t xml:space="preserve">th fixed cell can be lower in the cell </w:t>
      </w:r>
      <w:r w:rsidRPr="00C863F9">
        <w:rPr>
          <w:b/>
          <w:bCs/>
          <w:lang w:eastAsia="zh-CN"/>
        </w:rPr>
        <w:t>centre</w:t>
      </w:r>
      <w:r w:rsidRPr="008F6314">
        <w:rPr>
          <w:b/>
          <w:bCs/>
          <w:lang w:eastAsia="zh-CN"/>
        </w:rPr>
        <w:t xml:space="preserve"> then at the cell border.</w:t>
      </w:r>
    </w:p>
    <w:p w14:paraId="78B986DB" w14:textId="77777777" w:rsidR="00724A3C" w:rsidRDefault="00724A3C" w:rsidP="00724A3C">
      <w:pPr>
        <w:keepLines/>
        <w:jc w:val="both"/>
        <w:rPr>
          <w:b/>
          <w:bCs/>
          <w:lang w:eastAsia="zh-CN"/>
        </w:rPr>
      </w:pPr>
      <w:r w:rsidRPr="00B12C3B">
        <w:rPr>
          <w:b/>
          <w:bCs/>
          <w:lang w:eastAsia="zh-CN"/>
        </w:rPr>
        <w:t xml:space="preserve">Proposal </w:t>
      </w:r>
      <w:r>
        <w:rPr>
          <w:b/>
          <w:bCs/>
          <w:lang w:eastAsia="zh-CN"/>
        </w:rPr>
        <w:t>3</w:t>
      </w:r>
      <w:r w:rsidRPr="00B12C3B">
        <w:rPr>
          <w:b/>
          <w:bCs/>
          <w:lang w:eastAsia="zh-CN"/>
        </w:rPr>
        <w:t xml:space="preserve">: </w:t>
      </w:r>
      <w:r>
        <w:rPr>
          <w:b/>
          <w:bCs/>
          <w:lang w:eastAsia="zh-CN"/>
        </w:rPr>
        <w:t>Location information should also be considered for Earth moving cells.</w:t>
      </w:r>
    </w:p>
    <w:p w14:paraId="02565A36" w14:textId="77777777" w:rsidR="00724A3C" w:rsidRDefault="00724A3C" w:rsidP="00724A3C">
      <w:pPr>
        <w:jc w:val="both"/>
        <w:rPr>
          <w:b/>
          <w:bCs/>
        </w:rPr>
      </w:pPr>
      <w:r>
        <w:rPr>
          <w:b/>
          <w:bCs/>
        </w:rPr>
        <w:t>Proposal 4: RAN2 to specify a cell position information based on the center of the cell on earth and potentially the radius for the serving cells and neighbouring cells plus a timestamp.</w:t>
      </w:r>
    </w:p>
    <w:p w14:paraId="42AE8E05" w14:textId="77777777" w:rsidR="00724A3C" w:rsidRDefault="00724A3C" w:rsidP="00724A3C">
      <w:pPr>
        <w:jc w:val="both"/>
        <w:rPr>
          <w:b/>
          <w:bCs/>
        </w:rPr>
      </w:pPr>
      <w:r>
        <w:rPr>
          <w:b/>
          <w:bCs/>
        </w:rPr>
        <w:t>Proposal 5: Only those neighboring cells where UEs can handover to should be included in the serving cells SIB.</w:t>
      </w:r>
    </w:p>
    <w:p w14:paraId="21A43B34" w14:textId="77777777" w:rsidR="00724A3C" w:rsidRDefault="00724A3C" w:rsidP="00724A3C">
      <w:pPr>
        <w:jc w:val="both"/>
      </w:pPr>
      <w:r>
        <w:rPr>
          <w:b/>
          <w:bCs/>
        </w:rPr>
        <w:t>Observation 2: the cell center location information for serving and neighboring cells does not need to be updated often.</w:t>
      </w:r>
    </w:p>
    <w:p w14:paraId="2C76ED2A" w14:textId="4FE7ED42" w:rsidR="00724A3C" w:rsidRDefault="00724A3C" w:rsidP="00724A3C">
      <w:pPr>
        <w:jc w:val="both"/>
        <w:rPr>
          <w:b/>
          <w:bCs/>
        </w:rPr>
      </w:pPr>
      <w:r w:rsidRPr="003B6EC1">
        <w:rPr>
          <w:b/>
          <w:bCs/>
        </w:rPr>
        <w:t xml:space="preserve">Proposal </w:t>
      </w:r>
      <w:r>
        <w:rPr>
          <w:b/>
          <w:bCs/>
        </w:rPr>
        <w:t>6</w:t>
      </w:r>
      <w:r w:rsidRPr="003B6EC1">
        <w:rPr>
          <w:b/>
          <w:bCs/>
        </w:rPr>
        <w:t>: In Release 17, the legacy priorities for IDLE mode are sufficient for cell reselections between TN and NTN.</w:t>
      </w:r>
    </w:p>
    <w:p w14:paraId="35F222F4" w14:textId="2FAE3296" w:rsidR="00080512" w:rsidRPr="00724A3C" w:rsidRDefault="00724A3C" w:rsidP="008F6314">
      <w:pPr>
        <w:jc w:val="both"/>
        <w:rPr>
          <w:b/>
          <w:bCs/>
        </w:rPr>
      </w:pPr>
      <w:r w:rsidRPr="003B6EC1">
        <w:rPr>
          <w:b/>
          <w:bCs/>
        </w:rPr>
        <w:lastRenderedPageBreak/>
        <w:t xml:space="preserve">Observation </w:t>
      </w:r>
      <w:r>
        <w:rPr>
          <w:b/>
          <w:bCs/>
        </w:rPr>
        <w:t>3</w:t>
      </w:r>
      <w:r w:rsidRPr="003B6EC1">
        <w:rPr>
          <w:b/>
          <w:bCs/>
        </w:rPr>
        <w:t xml:space="preserve">: Not all mechanisms defined for intra-NTN mobility are needed for TN-&gt;NTN or NTN-&gt;TN mobility. </w:t>
      </w:r>
    </w:p>
    <w:p w14:paraId="04BAE0B0" w14:textId="6167741C" w:rsidR="008A1FA4" w:rsidRPr="00206708" w:rsidRDefault="008A1FA4" w:rsidP="008F6314">
      <w:pPr>
        <w:pStyle w:val="Heading1"/>
        <w:jc w:val="both"/>
      </w:pPr>
      <w:r w:rsidRPr="00206708">
        <w:t>References</w:t>
      </w:r>
    </w:p>
    <w:p w14:paraId="0A6EF9C0" w14:textId="583905B4" w:rsidR="004A2071" w:rsidRPr="00666705" w:rsidRDefault="00AB60A7" w:rsidP="008F6314">
      <w:pPr>
        <w:pStyle w:val="ListParagraph"/>
        <w:numPr>
          <w:ilvl w:val="0"/>
          <w:numId w:val="8"/>
        </w:numPr>
        <w:jc w:val="both"/>
      </w:pPr>
      <w:bookmarkStart w:id="0" w:name="_Ref90907519"/>
      <w:r w:rsidRPr="00666705">
        <w:t xml:space="preserve">R2-2108832 </w:t>
      </w:r>
      <w:r w:rsidRPr="00AB60A7">
        <w:rPr>
          <w:i/>
          <w:iCs/>
        </w:rPr>
        <w:t>Report from Break-out session on R17 NTN, REDCAP and CE</w:t>
      </w:r>
      <w:r w:rsidRPr="008952DA">
        <w:t xml:space="preserve"> </w:t>
      </w:r>
      <w:bookmarkStart w:id="1" w:name="_Hlk84594676"/>
      <w:r w:rsidRPr="008952DA">
        <w:t>3GPP TSG-RAN WG2 Meeting #115 electronic</w:t>
      </w:r>
      <w:r w:rsidRPr="008952DA">
        <w:tab/>
        <w:t>Aug 16th - 27th, 2021</w:t>
      </w:r>
      <w:bookmarkEnd w:id="1"/>
      <w:r w:rsidR="004A2071">
        <w:t>.</w:t>
      </w:r>
    </w:p>
    <w:bookmarkEnd w:id="0"/>
    <w:p w14:paraId="2A8DE63B" w14:textId="5DECA2E5" w:rsidR="008A1FA4" w:rsidRPr="00206708" w:rsidRDefault="008A1FA4" w:rsidP="008F6314">
      <w:pPr>
        <w:pStyle w:val="ListParagraph"/>
        <w:jc w:val="both"/>
      </w:pPr>
    </w:p>
    <w:sectPr w:rsidR="008A1FA4" w:rsidRPr="0020670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488DF2" w14:textId="77777777" w:rsidR="000D4A79" w:rsidRDefault="000D4A79">
      <w:r>
        <w:separator/>
      </w:r>
    </w:p>
  </w:endnote>
  <w:endnote w:type="continuationSeparator" w:id="0">
    <w:p w14:paraId="748A9C5F" w14:textId="77777777" w:rsidR="000D4A79" w:rsidRDefault="000D4A79">
      <w:r>
        <w:continuationSeparator/>
      </w:r>
    </w:p>
  </w:endnote>
  <w:endnote w:type="continuationNotice" w:id="1">
    <w:p w14:paraId="394BC259" w14:textId="77777777" w:rsidR="000D4A79" w:rsidRDefault="000D4A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CB1F53" w:rsidRDefault="00CB1F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CB1F53" w:rsidRDefault="00CB1F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CB1F53" w:rsidRDefault="00CB1F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3DD92" w14:textId="77777777" w:rsidR="000D4A79" w:rsidRDefault="000D4A79">
      <w:r>
        <w:separator/>
      </w:r>
    </w:p>
  </w:footnote>
  <w:footnote w:type="continuationSeparator" w:id="0">
    <w:p w14:paraId="60DD179D" w14:textId="77777777" w:rsidR="000D4A79" w:rsidRDefault="000D4A79">
      <w:r>
        <w:continuationSeparator/>
      </w:r>
    </w:p>
  </w:footnote>
  <w:footnote w:type="continuationNotice" w:id="1">
    <w:p w14:paraId="522564C8" w14:textId="77777777" w:rsidR="000D4A79" w:rsidRDefault="000D4A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CB1F53" w:rsidRDefault="00CB1F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CB1F53" w:rsidRDefault="00CB1F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CB1F53" w:rsidRDefault="00CB1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E36565"/>
    <w:multiLevelType w:val="hybridMultilevel"/>
    <w:tmpl w:val="6054FCF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2D7B0747"/>
    <w:multiLevelType w:val="hybridMultilevel"/>
    <w:tmpl w:val="AE64B846"/>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B52BB"/>
    <w:multiLevelType w:val="hybridMultilevel"/>
    <w:tmpl w:val="4E64A91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66034B"/>
    <w:multiLevelType w:val="hybridMultilevel"/>
    <w:tmpl w:val="16E483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B4B3D81"/>
    <w:multiLevelType w:val="multilevel"/>
    <w:tmpl w:val="75F83718"/>
    <w:lvl w:ilvl="0">
      <w:start w:val="1"/>
      <w:numFmt w:val="bullet"/>
      <w:lvlText w:val=""/>
      <w:lvlJc w:val="left"/>
      <w:pPr>
        <w:tabs>
          <w:tab w:val="num" w:pos="505"/>
        </w:tabs>
        <w:ind w:left="505" w:hanging="360"/>
      </w:pPr>
      <w:rPr>
        <w:rFonts w:ascii="Symbol" w:hAnsi="Symbol" w:hint="default"/>
        <w:sz w:val="20"/>
      </w:rPr>
    </w:lvl>
    <w:lvl w:ilvl="1" w:tentative="1">
      <w:start w:val="1"/>
      <w:numFmt w:val="bullet"/>
      <w:lvlText w:val=""/>
      <w:lvlJc w:val="left"/>
      <w:pPr>
        <w:tabs>
          <w:tab w:val="num" w:pos="1225"/>
        </w:tabs>
        <w:ind w:left="1225" w:hanging="360"/>
      </w:pPr>
      <w:rPr>
        <w:rFonts w:ascii="Symbol" w:hAnsi="Symbol" w:hint="default"/>
        <w:sz w:val="20"/>
      </w:rPr>
    </w:lvl>
    <w:lvl w:ilvl="2" w:tentative="1">
      <w:start w:val="1"/>
      <w:numFmt w:val="bullet"/>
      <w:lvlText w:val=""/>
      <w:lvlJc w:val="left"/>
      <w:pPr>
        <w:tabs>
          <w:tab w:val="num" w:pos="1945"/>
        </w:tabs>
        <w:ind w:left="1945" w:hanging="360"/>
      </w:pPr>
      <w:rPr>
        <w:rFonts w:ascii="Symbol" w:hAnsi="Symbol" w:hint="default"/>
        <w:sz w:val="20"/>
      </w:rPr>
    </w:lvl>
    <w:lvl w:ilvl="3" w:tentative="1">
      <w:start w:val="1"/>
      <w:numFmt w:val="bullet"/>
      <w:lvlText w:val=""/>
      <w:lvlJc w:val="left"/>
      <w:pPr>
        <w:tabs>
          <w:tab w:val="num" w:pos="2665"/>
        </w:tabs>
        <w:ind w:left="2665" w:hanging="360"/>
      </w:pPr>
      <w:rPr>
        <w:rFonts w:ascii="Symbol" w:hAnsi="Symbol" w:hint="default"/>
        <w:sz w:val="20"/>
      </w:rPr>
    </w:lvl>
    <w:lvl w:ilvl="4" w:tentative="1">
      <w:start w:val="1"/>
      <w:numFmt w:val="bullet"/>
      <w:lvlText w:val=""/>
      <w:lvlJc w:val="left"/>
      <w:pPr>
        <w:tabs>
          <w:tab w:val="num" w:pos="3385"/>
        </w:tabs>
        <w:ind w:left="3385" w:hanging="360"/>
      </w:pPr>
      <w:rPr>
        <w:rFonts w:ascii="Symbol" w:hAnsi="Symbol" w:hint="default"/>
        <w:sz w:val="20"/>
      </w:rPr>
    </w:lvl>
    <w:lvl w:ilvl="5" w:tentative="1">
      <w:start w:val="1"/>
      <w:numFmt w:val="bullet"/>
      <w:lvlText w:val=""/>
      <w:lvlJc w:val="left"/>
      <w:pPr>
        <w:tabs>
          <w:tab w:val="num" w:pos="4105"/>
        </w:tabs>
        <w:ind w:left="4105" w:hanging="360"/>
      </w:pPr>
      <w:rPr>
        <w:rFonts w:ascii="Symbol" w:hAnsi="Symbol" w:hint="default"/>
        <w:sz w:val="20"/>
      </w:rPr>
    </w:lvl>
    <w:lvl w:ilvl="6" w:tentative="1">
      <w:start w:val="1"/>
      <w:numFmt w:val="bullet"/>
      <w:lvlText w:val=""/>
      <w:lvlJc w:val="left"/>
      <w:pPr>
        <w:tabs>
          <w:tab w:val="num" w:pos="4825"/>
        </w:tabs>
        <w:ind w:left="4825" w:hanging="360"/>
      </w:pPr>
      <w:rPr>
        <w:rFonts w:ascii="Symbol" w:hAnsi="Symbol" w:hint="default"/>
        <w:sz w:val="20"/>
      </w:rPr>
    </w:lvl>
    <w:lvl w:ilvl="7" w:tentative="1">
      <w:start w:val="1"/>
      <w:numFmt w:val="bullet"/>
      <w:lvlText w:val=""/>
      <w:lvlJc w:val="left"/>
      <w:pPr>
        <w:tabs>
          <w:tab w:val="num" w:pos="5545"/>
        </w:tabs>
        <w:ind w:left="5545" w:hanging="360"/>
      </w:pPr>
      <w:rPr>
        <w:rFonts w:ascii="Symbol" w:hAnsi="Symbol" w:hint="default"/>
        <w:sz w:val="20"/>
      </w:rPr>
    </w:lvl>
    <w:lvl w:ilvl="8" w:tentative="1">
      <w:start w:val="1"/>
      <w:numFmt w:val="bullet"/>
      <w:lvlText w:val=""/>
      <w:lvlJc w:val="left"/>
      <w:pPr>
        <w:tabs>
          <w:tab w:val="num" w:pos="6265"/>
        </w:tabs>
        <w:ind w:left="6265" w:hanging="360"/>
      </w:pPr>
      <w:rPr>
        <w:rFonts w:ascii="Symbol" w:hAnsi="Symbol" w:hint="default"/>
        <w:sz w:val="20"/>
      </w:rPr>
    </w:lvl>
  </w:abstractNum>
  <w:abstractNum w:abstractNumId="11" w15:restartNumberingAfterBreak="0">
    <w:nsid w:val="4C1B6079"/>
    <w:multiLevelType w:val="hybridMultilevel"/>
    <w:tmpl w:val="8A08DAF6"/>
    <w:lvl w:ilvl="0" w:tplc="CF2EBB6C">
      <w:start w:val="1"/>
      <w:numFmt w:val="bullet"/>
      <w:lvlText w:val=""/>
      <w:lvlJc w:val="left"/>
      <w:pPr>
        <w:tabs>
          <w:tab w:val="num" w:pos="720"/>
        </w:tabs>
        <w:ind w:left="720" w:hanging="360"/>
      </w:pPr>
      <w:rPr>
        <w:rFonts w:ascii="Symbol" w:hAnsi="Symbol" w:hint="default"/>
      </w:rPr>
    </w:lvl>
    <w:lvl w:ilvl="1" w:tplc="BFF0DB50">
      <w:numFmt w:val="bullet"/>
      <w:lvlText w:val="o"/>
      <w:lvlJc w:val="left"/>
      <w:pPr>
        <w:tabs>
          <w:tab w:val="num" w:pos="1440"/>
        </w:tabs>
        <w:ind w:left="1440" w:hanging="360"/>
      </w:pPr>
      <w:rPr>
        <w:rFonts w:ascii="Courier New" w:hAnsi="Courier New" w:hint="default"/>
      </w:rPr>
    </w:lvl>
    <w:lvl w:ilvl="2" w:tplc="087CDD2C">
      <w:numFmt w:val="bullet"/>
      <w:lvlText w:val=""/>
      <w:lvlJc w:val="left"/>
      <w:pPr>
        <w:tabs>
          <w:tab w:val="num" w:pos="2160"/>
        </w:tabs>
        <w:ind w:left="2160" w:hanging="360"/>
      </w:pPr>
      <w:rPr>
        <w:rFonts w:ascii="Wingdings" w:hAnsi="Wingdings" w:hint="default"/>
      </w:rPr>
    </w:lvl>
    <w:lvl w:ilvl="3" w:tplc="A5AA02CC">
      <w:numFmt w:val="bullet"/>
      <w:lvlText w:val=""/>
      <w:lvlJc w:val="left"/>
      <w:pPr>
        <w:tabs>
          <w:tab w:val="num" w:pos="2880"/>
        </w:tabs>
        <w:ind w:left="2880" w:hanging="360"/>
      </w:pPr>
      <w:rPr>
        <w:rFonts w:ascii="Symbol" w:hAnsi="Symbol" w:hint="default"/>
      </w:rPr>
    </w:lvl>
    <w:lvl w:ilvl="4" w:tplc="B1D49218" w:tentative="1">
      <w:start w:val="1"/>
      <w:numFmt w:val="bullet"/>
      <w:lvlText w:val=""/>
      <w:lvlJc w:val="left"/>
      <w:pPr>
        <w:tabs>
          <w:tab w:val="num" w:pos="3600"/>
        </w:tabs>
        <w:ind w:left="3600" w:hanging="360"/>
      </w:pPr>
      <w:rPr>
        <w:rFonts w:ascii="Symbol" w:hAnsi="Symbol" w:hint="default"/>
      </w:rPr>
    </w:lvl>
    <w:lvl w:ilvl="5" w:tplc="2FAE82FA" w:tentative="1">
      <w:start w:val="1"/>
      <w:numFmt w:val="bullet"/>
      <w:lvlText w:val=""/>
      <w:lvlJc w:val="left"/>
      <w:pPr>
        <w:tabs>
          <w:tab w:val="num" w:pos="4320"/>
        </w:tabs>
        <w:ind w:left="4320" w:hanging="360"/>
      </w:pPr>
      <w:rPr>
        <w:rFonts w:ascii="Symbol" w:hAnsi="Symbol" w:hint="default"/>
      </w:rPr>
    </w:lvl>
    <w:lvl w:ilvl="6" w:tplc="2A36B7DC" w:tentative="1">
      <w:start w:val="1"/>
      <w:numFmt w:val="bullet"/>
      <w:lvlText w:val=""/>
      <w:lvlJc w:val="left"/>
      <w:pPr>
        <w:tabs>
          <w:tab w:val="num" w:pos="5040"/>
        </w:tabs>
        <w:ind w:left="5040" w:hanging="360"/>
      </w:pPr>
      <w:rPr>
        <w:rFonts w:ascii="Symbol" w:hAnsi="Symbol" w:hint="default"/>
      </w:rPr>
    </w:lvl>
    <w:lvl w:ilvl="7" w:tplc="06042288" w:tentative="1">
      <w:start w:val="1"/>
      <w:numFmt w:val="bullet"/>
      <w:lvlText w:val=""/>
      <w:lvlJc w:val="left"/>
      <w:pPr>
        <w:tabs>
          <w:tab w:val="num" w:pos="5760"/>
        </w:tabs>
        <w:ind w:left="5760" w:hanging="360"/>
      </w:pPr>
      <w:rPr>
        <w:rFonts w:ascii="Symbol" w:hAnsi="Symbol" w:hint="default"/>
      </w:rPr>
    </w:lvl>
    <w:lvl w:ilvl="8" w:tplc="188AC09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EAB2CD6"/>
    <w:multiLevelType w:val="hybridMultilevel"/>
    <w:tmpl w:val="1DB612DE"/>
    <w:lvl w:ilvl="0" w:tplc="0FB4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3A81492"/>
    <w:multiLevelType w:val="hybridMultilevel"/>
    <w:tmpl w:val="C7268F1C"/>
    <w:lvl w:ilvl="0" w:tplc="0406000F">
      <w:start w:val="1"/>
      <w:numFmt w:val="decimal"/>
      <w:lvlText w:val="%1."/>
      <w:lvlJc w:val="left"/>
      <w:pPr>
        <w:ind w:left="1004" w:hanging="360"/>
      </w:pPr>
    </w:lvl>
    <w:lvl w:ilvl="1" w:tplc="04060019" w:tentative="1">
      <w:start w:val="1"/>
      <w:numFmt w:val="lowerLetter"/>
      <w:lvlText w:val="%2."/>
      <w:lvlJc w:val="left"/>
      <w:pPr>
        <w:ind w:left="1724" w:hanging="360"/>
      </w:pPr>
    </w:lvl>
    <w:lvl w:ilvl="2" w:tplc="0406001B" w:tentative="1">
      <w:start w:val="1"/>
      <w:numFmt w:val="lowerRoman"/>
      <w:lvlText w:val="%3."/>
      <w:lvlJc w:val="right"/>
      <w:pPr>
        <w:ind w:left="2444" w:hanging="180"/>
      </w:pPr>
    </w:lvl>
    <w:lvl w:ilvl="3" w:tplc="0406000F" w:tentative="1">
      <w:start w:val="1"/>
      <w:numFmt w:val="decimal"/>
      <w:lvlText w:val="%4."/>
      <w:lvlJc w:val="left"/>
      <w:pPr>
        <w:ind w:left="3164" w:hanging="360"/>
      </w:pPr>
    </w:lvl>
    <w:lvl w:ilvl="4" w:tplc="04060019" w:tentative="1">
      <w:start w:val="1"/>
      <w:numFmt w:val="lowerLetter"/>
      <w:lvlText w:val="%5."/>
      <w:lvlJc w:val="left"/>
      <w:pPr>
        <w:ind w:left="3884" w:hanging="360"/>
      </w:pPr>
    </w:lvl>
    <w:lvl w:ilvl="5" w:tplc="0406001B" w:tentative="1">
      <w:start w:val="1"/>
      <w:numFmt w:val="lowerRoman"/>
      <w:lvlText w:val="%6."/>
      <w:lvlJc w:val="right"/>
      <w:pPr>
        <w:ind w:left="4604" w:hanging="180"/>
      </w:pPr>
    </w:lvl>
    <w:lvl w:ilvl="6" w:tplc="0406000F" w:tentative="1">
      <w:start w:val="1"/>
      <w:numFmt w:val="decimal"/>
      <w:lvlText w:val="%7."/>
      <w:lvlJc w:val="left"/>
      <w:pPr>
        <w:ind w:left="5324" w:hanging="360"/>
      </w:pPr>
    </w:lvl>
    <w:lvl w:ilvl="7" w:tplc="04060019" w:tentative="1">
      <w:start w:val="1"/>
      <w:numFmt w:val="lowerLetter"/>
      <w:lvlText w:val="%8."/>
      <w:lvlJc w:val="left"/>
      <w:pPr>
        <w:ind w:left="6044" w:hanging="360"/>
      </w:pPr>
    </w:lvl>
    <w:lvl w:ilvl="8" w:tplc="0406001B" w:tentative="1">
      <w:start w:val="1"/>
      <w:numFmt w:val="lowerRoman"/>
      <w:lvlText w:val="%9."/>
      <w:lvlJc w:val="right"/>
      <w:pPr>
        <w:ind w:left="6764" w:hanging="180"/>
      </w:pPr>
    </w:lvl>
  </w:abstractNum>
  <w:abstractNum w:abstractNumId="14" w15:restartNumberingAfterBreak="0">
    <w:nsid w:val="583A630B"/>
    <w:multiLevelType w:val="hybridMultilevel"/>
    <w:tmpl w:val="BF84C0B4"/>
    <w:lvl w:ilvl="0" w:tplc="ADF2CC6C">
      <w:numFmt w:val="bullet"/>
      <w:lvlText w:val=""/>
      <w:lvlJc w:val="left"/>
      <w:pPr>
        <w:ind w:left="720" w:hanging="360"/>
      </w:pPr>
      <w:rPr>
        <w:rFonts w:ascii="Wingdings" w:eastAsia="Calibri" w:hAnsi="Wingdings"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5AAA7EF9"/>
    <w:multiLevelType w:val="hybridMultilevel"/>
    <w:tmpl w:val="AF501F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B694FB8"/>
    <w:multiLevelType w:val="hybridMultilevel"/>
    <w:tmpl w:val="048E3C60"/>
    <w:lvl w:ilvl="0" w:tplc="0D7C959C">
      <w:start w:val="2"/>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7BBD589A"/>
    <w:multiLevelType w:val="hybridMultilevel"/>
    <w:tmpl w:val="A4000132"/>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3"/>
  </w:num>
  <w:num w:numId="9">
    <w:abstractNumId w:val="7"/>
  </w:num>
  <w:num w:numId="10">
    <w:abstractNumId w:val="4"/>
  </w:num>
  <w:num w:numId="11">
    <w:abstractNumId w:val="10"/>
  </w:num>
  <w:num w:numId="12">
    <w:abstractNumId w:val="2"/>
  </w:num>
  <w:num w:numId="13">
    <w:abstractNumId w:val="14"/>
  </w:num>
  <w:num w:numId="14">
    <w:abstractNumId w:val="15"/>
  </w:num>
  <w:num w:numId="15">
    <w:abstractNumId w:val="12"/>
  </w:num>
  <w:num w:numId="16">
    <w:abstractNumId w:val="11"/>
  </w:num>
  <w:num w:numId="17">
    <w:abstractNumId w:val="16"/>
  </w:num>
  <w:num w:numId="18">
    <w:abstractNumId w:val="13"/>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2CA"/>
    <w:rsid w:val="0001573A"/>
    <w:rsid w:val="00016557"/>
    <w:rsid w:val="00023C40"/>
    <w:rsid w:val="00033397"/>
    <w:rsid w:val="00040095"/>
    <w:rsid w:val="000402D3"/>
    <w:rsid w:val="0004563A"/>
    <w:rsid w:val="00045673"/>
    <w:rsid w:val="00065268"/>
    <w:rsid w:val="00073C9C"/>
    <w:rsid w:val="00076412"/>
    <w:rsid w:val="00080512"/>
    <w:rsid w:val="00090468"/>
    <w:rsid w:val="000917EE"/>
    <w:rsid w:val="00094568"/>
    <w:rsid w:val="00095CBB"/>
    <w:rsid w:val="000A3935"/>
    <w:rsid w:val="000B7BCF"/>
    <w:rsid w:val="000C522B"/>
    <w:rsid w:val="000C6A96"/>
    <w:rsid w:val="000D3484"/>
    <w:rsid w:val="000D3FF3"/>
    <w:rsid w:val="000D4A79"/>
    <w:rsid w:val="000D58AB"/>
    <w:rsid w:val="000F0A9E"/>
    <w:rsid w:val="00106D48"/>
    <w:rsid w:val="00112F1A"/>
    <w:rsid w:val="00123295"/>
    <w:rsid w:val="001236EE"/>
    <w:rsid w:val="00125A88"/>
    <w:rsid w:val="00145075"/>
    <w:rsid w:val="00146770"/>
    <w:rsid w:val="00150871"/>
    <w:rsid w:val="001549A2"/>
    <w:rsid w:val="001741A0"/>
    <w:rsid w:val="00175FA0"/>
    <w:rsid w:val="00182D3F"/>
    <w:rsid w:val="0018778A"/>
    <w:rsid w:val="001929B1"/>
    <w:rsid w:val="001938A4"/>
    <w:rsid w:val="00194CD0"/>
    <w:rsid w:val="001A661A"/>
    <w:rsid w:val="001B4289"/>
    <w:rsid w:val="001B49C9"/>
    <w:rsid w:val="001C23F4"/>
    <w:rsid w:val="001C2590"/>
    <w:rsid w:val="001C4F79"/>
    <w:rsid w:val="001F168B"/>
    <w:rsid w:val="001F323D"/>
    <w:rsid w:val="001F41D3"/>
    <w:rsid w:val="001F7831"/>
    <w:rsid w:val="0020125E"/>
    <w:rsid w:val="00204045"/>
    <w:rsid w:val="00206708"/>
    <w:rsid w:val="0020712B"/>
    <w:rsid w:val="00207DA6"/>
    <w:rsid w:val="00215D56"/>
    <w:rsid w:val="002238AF"/>
    <w:rsid w:val="0022606D"/>
    <w:rsid w:val="00231728"/>
    <w:rsid w:val="00244A05"/>
    <w:rsid w:val="00250404"/>
    <w:rsid w:val="00250BF2"/>
    <w:rsid w:val="00256B74"/>
    <w:rsid w:val="002610D8"/>
    <w:rsid w:val="002656C6"/>
    <w:rsid w:val="002747EC"/>
    <w:rsid w:val="00283275"/>
    <w:rsid w:val="002855BF"/>
    <w:rsid w:val="002912EA"/>
    <w:rsid w:val="002928CA"/>
    <w:rsid w:val="002943D8"/>
    <w:rsid w:val="002959AC"/>
    <w:rsid w:val="002B6A24"/>
    <w:rsid w:val="002C16F6"/>
    <w:rsid w:val="002C65FC"/>
    <w:rsid w:val="002C7BE5"/>
    <w:rsid w:val="002D1A49"/>
    <w:rsid w:val="002D494A"/>
    <w:rsid w:val="002E371F"/>
    <w:rsid w:val="002F0D22"/>
    <w:rsid w:val="002F4B7C"/>
    <w:rsid w:val="002F6853"/>
    <w:rsid w:val="0030218A"/>
    <w:rsid w:val="00311B17"/>
    <w:rsid w:val="003172DC"/>
    <w:rsid w:val="003259E4"/>
    <w:rsid w:val="00325AE3"/>
    <w:rsid w:val="00326069"/>
    <w:rsid w:val="00327C3D"/>
    <w:rsid w:val="00341552"/>
    <w:rsid w:val="0035462D"/>
    <w:rsid w:val="0036456B"/>
    <w:rsid w:val="0036459E"/>
    <w:rsid w:val="00364B41"/>
    <w:rsid w:val="00383096"/>
    <w:rsid w:val="00386E46"/>
    <w:rsid w:val="0039346C"/>
    <w:rsid w:val="00393F39"/>
    <w:rsid w:val="00396930"/>
    <w:rsid w:val="003A41EF"/>
    <w:rsid w:val="003A4C30"/>
    <w:rsid w:val="003B40AD"/>
    <w:rsid w:val="003B64AD"/>
    <w:rsid w:val="003C4E37"/>
    <w:rsid w:val="003E027C"/>
    <w:rsid w:val="003E16BE"/>
    <w:rsid w:val="003F411E"/>
    <w:rsid w:val="003F4E28"/>
    <w:rsid w:val="004006E8"/>
    <w:rsid w:val="00401855"/>
    <w:rsid w:val="00416432"/>
    <w:rsid w:val="0042460A"/>
    <w:rsid w:val="004340FC"/>
    <w:rsid w:val="00441060"/>
    <w:rsid w:val="00444004"/>
    <w:rsid w:val="00446C3A"/>
    <w:rsid w:val="00452EE2"/>
    <w:rsid w:val="00465587"/>
    <w:rsid w:val="00467D9E"/>
    <w:rsid w:val="00474181"/>
    <w:rsid w:val="00477455"/>
    <w:rsid w:val="004911B3"/>
    <w:rsid w:val="00496F55"/>
    <w:rsid w:val="004A0212"/>
    <w:rsid w:val="004A0A3F"/>
    <w:rsid w:val="004A0C4D"/>
    <w:rsid w:val="004A1EFC"/>
    <w:rsid w:val="004A1F7B"/>
    <w:rsid w:val="004A2071"/>
    <w:rsid w:val="004A3DD0"/>
    <w:rsid w:val="004A472F"/>
    <w:rsid w:val="004A625F"/>
    <w:rsid w:val="004B1F63"/>
    <w:rsid w:val="004C3D82"/>
    <w:rsid w:val="004C44D2"/>
    <w:rsid w:val="004D0A84"/>
    <w:rsid w:val="004D3578"/>
    <w:rsid w:val="004D380D"/>
    <w:rsid w:val="004D74FE"/>
    <w:rsid w:val="004E1F39"/>
    <w:rsid w:val="004E213A"/>
    <w:rsid w:val="004F4540"/>
    <w:rsid w:val="004F73A7"/>
    <w:rsid w:val="00503171"/>
    <w:rsid w:val="00506C28"/>
    <w:rsid w:val="00534DA0"/>
    <w:rsid w:val="00543E6C"/>
    <w:rsid w:val="00552D34"/>
    <w:rsid w:val="0055495A"/>
    <w:rsid w:val="00556D1A"/>
    <w:rsid w:val="00557D52"/>
    <w:rsid w:val="00565087"/>
    <w:rsid w:val="0056573F"/>
    <w:rsid w:val="00571279"/>
    <w:rsid w:val="00574267"/>
    <w:rsid w:val="005800B0"/>
    <w:rsid w:val="005A49C6"/>
    <w:rsid w:val="005B52BA"/>
    <w:rsid w:val="005C360B"/>
    <w:rsid w:val="005C692F"/>
    <w:rsid w:val="005C7CD5"/>
    <w:rsid w:val="005E1E4B"/>
    <w:rsid w:val="005E26A0"/>
    <w:rsid w:val="005E59EB"/>
    <w:rsid w:val="005E6807"/>
    <w:rsid w:val="006109BB"/>
    <w:rsid w:val="00611566"/>
    <w:rsid w:val="006116AE"/>
    <w:rsid w:val="006126F9"/>
    <w:rsid w:val="006225D2"/>
    <w:rsid w:val="006265ED"/>
    <w:rsid w:val="0063441B"/>
    <w:rsid w:val="00634641"/>
    <w:rsid w:val="00646D99"/>
    <w:rsid w:val="006552A8"/>
    <w:rsid w:val="00656910"/>
    <w:rsid w:val="00656BB1"/>
    <w:rsid w:val="006574C0"/>
    <w:rsid w:val="006601DE"/>
    <w:rsid w:val="00674861"/>
    <w:rsid w:val="0069193F"/>
    <w:rsid w:val="006923EB"/>
    <w:rsid w:val="006967D7"/>
    <w:rsid w:val="00696821"/>
    <w:rsid w:val="006A3A7F"/>
    <w:rsid w:val="006B1F14"/>
    <w:rsid w:val="006C2C3B"/>
    <w:rsid w:val="006C66D8"/>
    <w:rsid w:val="006C7A41"/>
    <w:rsid w:val="006D1E24"/>
    <w:rsid w:val="006D35DE"/>
    <w:rsid w:val="006E1057"/>
    <w:rsid w:val="006E1417"/>
    <w:rsid w:val="006E408C"/>
    <w:rsid w:val="006E7A2B"/>
    <w:rsid w:val="006F4438"/>
    <w:rsid w:val="006F6A2C"/>
    <w:rsid w:val="00701CCF"/>
    <w:rsid w:val="007069DC"/>
    <w:rsid w:val="00706E24"/>
    <w:rsid w:val="00710201"/>
    <w:rsid w:val="0072073A"/>
    <w:rsid w:val="00724A3C"/>
    <w:rsid w:val="007256B0"/>
    <w:rsid w:val="007263C8"/>
    <w:rsid w:val="00731E03"/>
    <w:rsid w:val="007342B5"/>
    <w:rsid w:val="00734A5B"/>
    <w:rsid w:val="0073643A"/>
    <w:rsid w:val="00741295"/>
    <w:rsid w:val="00744E76"/>
    <w:rsid w:val="0075343E"/>
    <w:rsid w:val="00757D40"/>
    <w:rsid w:val="007623D2"/>
    <w:rsid w:val="007662B5"/>
    <w:rsid w:val="00781F0F"/>
    <w:rsid w:val="0078727C"/>
    <w:rsid w:val="0079049D"/>
    <w:rsid w:val="00793DC5"/>
    <w:rsid w:val="0079617F"/>
    <w:rsid w:val="00796823"/>
    <w:rsid w:val="007A2E55"/>
    <w:rsid w:val="007B0CA9"/>
    <w:rsid w:val="007B18D8"/>
    <w:rsid w:val="007C095F"/>
    <w:rsid w:val="007C0EE8"/>
    <w:rsid w:val="007C2DD0"/>
    <w:rsid w:val="007D464F"/>
    <w:rsid w:val="007D4D3A"/>
    <w:rsid w:val="007E088F"/>
    <w:rsid w:val="007E0C3F"/>
    <w:rsid w:val="007E3DAD"/>
    <w:rsid w:val="007E7CF6"/>
    <w:rsid w:val="007F2E08"/>
    <w:rsid w:val="007F5C18"/>
    <w:rsid w:val="007F7298"/>
    <w:rsid w:val="008024FA"/>
    <w:rsid w:val="008028A4"/>
    <w:rsid w:val="00803805"/>
    <w:rsid w:val="008050B7"/>
    <w:rsid w:val="00813245"/>
    <w:rsid w:val="008148DC"/>
    <w:rsid w:val="00835AE4"/>
    <w:rsid w:val="00840DE0"/>
    <w:rsid w:val="00847CD0"/>
    <w:rsid w:val="008607A8"/>
    <w:rsid w:val="0086354A"/>
    <w:rsid w:val="0086567B"/>
    <w:rsid w:val="008768CA"/>
    <w:rsid w:val="00877EF9"/>
    <w:rsid w:val="00880559"/>
    <w:rsid w:val="0089519A"/>
    <w:rsid w:val="00896ABB"/>
    <w:rsid w:val="008A1FA4"/>
    <w:rsid w:val="008B4AEB"/>
    <w:rsid w:val="008B5306"/>
    <w:rsid w:val="008C03E0"/>
    <w:rsid w:val="008C2E2A"/>
    <w:rsid w:val="008C3057"/>
    <w:rsid w:val="008C5033"/>
    <w:rsid w:val="008C537B"/>
    <w:rsid w:val="008D2E4D"/>
    <w:rsid w:val="008D5BE2"/>
    <w:rsid w:val="008F396F"/>
    <w:rsid w:val="008F3DCD"/>
    <w:rsid w:val="008F55B5"/>
    <w:rsid w:val="008F6314"/>
    <w:rsid w:val="0090271F"/>
    <w:rsid w:val="00902DB9"/>
    <w:rsid w:val="00904454"/>
    <w:rsid w:val="0090466A"/>
    <w:rsid w:val="009130E9"/>
    <w:rsid w:val="009228CF"/>
    <w:rsid w:val="00922B38"/>
    <w:rsid w:val="00923655"/>
    <w:rsid w:val="009339CB"/>
    <w:rsid w:val="00935E67"/>
    <w:rsid w:val="00936071"/>
    <w:rsid w:val="009376CD"/>
    <w:rsid w:val="00940212"/>
    <w:rsid w:val="00942EC2"/>
    <w:rsid w:val="009473F1"/>
    <w:rsid w:val="00961B32"/>
    <w:rsid w:val="00962509"/>
    <w:rsid w:val="0096664F"/>
    <w:rsid w:val="00966CAB"/>
    <w:rsid w:val="00970DB3"/>
    <w:rsid w:val="00972C86"/>
    <w:rsid w:val="00973476"/>
    <w:rsid w:val="00973EE2"/>
    <w:rsid w:val="00974BB0"/>
    <w:rsid w:val="00975BCD"/>
    <w:rsid w:val="00977D1B"/>
    <w:rsid w:val="009928A9"/>
    <w:rsid w:val="00996656"/>
    <w:rsid w:val="009A0AF3"/>
    <w:rsid w:val="009A344A"/>
    <w:rsid w:val="009B07CD"/>
    <w:rsid w:val="009C19E9"/>
    <w:rsid w:val="009C5662"/>
    <w:rsid w:val="009D2AB0"/>
    <w:rsid w:val="009D369D"/>
    <w:rsid w:val="009D5D0F"/>
    <w:rsid w:val="009D74A6"/>
    <w:rsid w:val="009E0E87"/>
    <w:rsid w:val="009E105F"/>
    <w:rsid w:val="009E2CE5"/>
    <w:rsid w:val="00A10F02"/>
    <w:rsid w:val="00A204CA"/>
    <w:rsid w:val="00A209D6"/>
    <w:rsid w:val="00A22738"/>
    <w:rsid w:val="00A22791"/>
    <w:rsid w:val="00A22BEF"/>
    <w:rsid w:val="00A277DF"/>
    <w:rsid w:val="00A306D1"/>
    <w:rsid w:val="00A32368"/>
    <w:rsid w:val="00A36F5F"/>
    <w:rsid w:val="00A40CD6"/>
    <w:rsid w:val="00A42EC6"/>
    <w:rsid w:val="00A430EC"/>
    <w:rsid w:val="00A53724"/>
    <w:rsid w:val="00A54B2B"/>
    <w:rsid w:val="00A56E92"/>
    <w:rsid w:val="00A82346"/>
    <w:rsid w:val="00A82EDE"/>
    <w:rsid w:val="00A92485"/>
    <w:rsid w:val="00A94F5D"/>
    <w:rsid w:val="00A9671C"/>
    <w:rsid w:val="00AA0858"/>
    <w:rsid w:val="00AA1553"/>
    <w:rsid w:val="00AA6A2E"/>
    <w:rsid w:val="00AB40A8"/>
    <w:rsid w:val="00AB60A7"/>
    <w:rsid w:val="00AD1BF5"/>
    <w:rsid w:val="00AE4874"/>
    <w:rsid w:val="00AE664C"/>
    <w:rsid w:val="00AF11C6"/>
    <w:rsid w:val="00AF2B6B"/>
    <w:rsid w:val="00B05380"/>
    <w:rsid w:val="00B05962"/>
    <w:rsid w:val="00B07411"/>
    <w:rsid w:val="00B13C76"/>
    <w:rsid w:val="00B13E6F"/>
    <w:rsid w:val="00B15449"/>
    <w:rsid w:val="00B16C2F"/>
    <w:rsid w:val="00B20938"/>
    <w:rsid w:val="00B27303"/>
    <w:rsid w:val="00B27DE4"/>
    <w:rsid w:val="00B27E55"/>
    <w:rsid w:val="00B31663"/>
    <w:rsid w:val="00B4321D"/>
    <w:rsid w:val="00B47FD1"/>
    <w:rsid w:val="00B516BB"/>
    <w:rsid w:val="00B64D7A"/>
    <w:rsid w:val="00B65364"/>
    <w:rsid w:val="00B7538C"/>
    <w:rsid w:val="00B84DB2"/>
    <w:rsid w:val="00B93945"/>
    <w:rsid w:val="00BC0079"/>
    <w:rsid w:val="00BC1D33"/>
    <w:rsid w:val="00BC3555"/>
    <w:rsid w:val="00BD54FF"/>
    <w:rsid w:val="00BD70F8"/>
    <w:rsid w:val="00BE323E"/>
    <w:rsid w:val="00BE7774"/>
    <w:rsid w:val="00BF2436"/>
    <w:rsid w:val="00BF3CCC"/>
    <w:rsid w:val="00C11875"/>
    <w:rsid w:val="00C12B51"/>
    <w:rsid w:val="00C24650"/>
    <w:rsid w:val="00C25465"/>
    <w:rsid w:val="00C25BD5"/>
    <w:rsid w:val="00C33079"/>
    <w:rsid w:val="00C4002E"/>
    <w:rsid w:val="00C45FD7"/>
    <w:rsid w:val="00C543DE"/>
    <w:rsid w:val="00C551B5"/>
    <w:rsid w:val="00C55A12"/>
    <w:rsid w:val="00C6553E"/>
    <w:rsid w:val="00C7177A"/>
    <w:rsid w:val="00C83A13"/>
    <w:rsid w:val="00C863F9"/>
    <w:rsid w:val="00C86F10"/>
    <w:rsid w:val="00C9068C"/>
    <w:rsid w:val="00C92967"/>
    <w:rsid w:val="00C93D30"/>
    <w:rsid w:val="00CA3D0C"/>
    <w:rsid w:val="00CA654B"/>
    <w:rsid w:val="00CB1F53"/>
    <w:rsid w:val="00CB72B8"/>
    <w:rsid w:val="00CC214F"/>
    <w:rsid w:val="00CD0BA8"/>
    <w:rsid w:val="00CD3923"/>
    <w:rsid w:val="00CD4C7B"/>
    <w:rsid w:val="00CD58FE"/>
    <w:rsid w:val="00D00E5F"/>
    <w:rsid w:val="00D163B3"/>
    <w:rsid w:val="00D26845"/>
    <w:rsid w:val="00D31FE8"/>
    <w:rsid w:val="00D32D24"/>
    <w:rsid w:val="00D3383A"/>
    <w:rsid w:val="00D33BE3"/>
    <w:rsid w:val="00D3792D"/>
    <w:rsid w:val="00D44293"/>
    <w:rsid w:val="00D545A9"/>
    <w:rsid w:val="00D55E47"/>
    <w:rsid w:val="00D62E19"/>
    <w:rsid w:val="00D67CD1"/>
    <w:rsid w:val="00D738D6"/>
    <w:rsid w:val="00D80795"/>
    <w:rsid w:val="00D80A51"/>
    <w:rsid w:val="00D83230"/>
    <w:rsid w:val="00D848C8"/>
    <w:rsid w:val="00D854BE"/>
    <w:rsid w:val="00D87250"/>
    <w:rsid w:val="00D87400"/>
    <w:rsid w:val="00D87E00"/>
    <w:rsid w:val="00D9134D"/>
    <w:rsid w:val="00D968C5"/>
    <w:rsid w:val="00D96D11"/>
    <w:rsid w:val="00DA7A03"/>
    <w:rsid w:val="00DB0DB8"/>
    <w:rsid w:val="00DB14D1"/>
    <w:rsid w:val="00DB1818"/>
    <w:rsid w:val="00DC2E80"/>
    <w:rsid w:val="00DC309B"/>
    <w:rsid w:val="00DC4DA2"/>
    <w:rsid w:val="00DC5261"/>
    <w:rsid w:val="00DD1ADF"/>
    <w:rsid w:val="00DD7AD5"/>
    <w:rsid w:val="00DE25D2"/>
    <w:rsid w:val="00DF4CA0"/>
    <w:rsid w:val="00E219B2"/>
    <w:rsid w:val="00E42B45"/>
    <w:rsid w:val="00E46C08"/>
    <w:rsid w:val="00E471CF"/>
    <w:rsid w:val="00E62835"/>
    <w:rsid w:val="00E62E3C"/>
    <w:rsid w:val="00E630CE"/>
    <w:rsid w:val="00E65140"/>
    <w:rsid w:val="00E7481E"/>
    <w:rsid w:val="00E77645"/>
    <w:rsid w:val="00E83697"/>
    <w:rsid w:val="00E859B6"/>
    <w:rsid w:val="00E85ECB"/>
    <w:rsid w:val="00E8657B"/>
    <w:rsid w:val="00EA66C9"/>
    <w:rsid w:val="00EB5D32"/>
    <w:rsid w:val="00EB6EC9"/>
    <w:rsid w:val="00EC4A25"/>
    <w:rsid w:val="00EC5C21"/>
    <w:rsid w:val="00EC75CF"/>
    <w:rsid w:val="00EE6F44"/>
    <w:rsid w:val="00EE7912"/>
    <w:rsid w:val="00EF060F"/>
    <w:rsid w:val="00EF612C"/>
    <w:rsid w:val="00F025A2"/>
    <w:rsid w:val="00F036E9"/>
    <w:rsid w:val="00F07388"/>
    <w:rsid w:val="00F15CE3"/>
    <w:rsid w:val="00F2026E"/>
    <w:rsid w:val="00F21FC5"/>
    <w:rsid w:val="00F2210A"/>
    <w:rsid w:val="00F31372"/>
    <w:rsid w:val="00F37743"/>
    <w:rsid w:val="00F45C5D"/>
    <w:rsid w:val="00F52C05"/>
    <w:rsid w:val="00F54A3D"/>
    <w:rsid w:val="00F54CB0"/>
    <w:rsid w:val="00F573B0"/>
    <w:rsid w:val="00F579CD"/>
    <w:rsid w:val="00F653B8"/>
    <w:rsid w:val="00F6620A"/>
    <w:rsid w:val="00F71B89"/>
    <w:rsid w:val="00F7353C"/>
    <w:rsid w:val="00F7358B"/>
    <w:rsid w:val="00F7490C"/>
    <w:rsid w:val="00F76F8F"/>
    <w:rsid w:val="00F84FE4"/>
    <w:rsid w:val="00F87257"/>
    <w:rsid w:val="00F87AD0"/>
    <w:rsid w:val="00F93362"/>
    <w:rsid w:val="00F941DF"/>
    <w:rsid w:val="00FA1266"/>
    <w:rsid w:val="00FA152F"/>
    <w:rsid w:val="00FB36FA"/>
    <w:rsid w:val="00FC1192"/>
    <w:rsid w:val="00FC1D4C"/>
    <w:rsid w:val="00FD1E36"/>
    <w:rsid w:val="00FD4567"/>
    <w:rsid w:val="00FE106D"/>
    <w:rsid w:val="00FE251B"/>
    <w:rsid w:val="00FE7293"/>
    <w:rsid w:val="00FE7934"/>
    <w:rsid w:val="21932994"/>
    <w:rsid w:val="47E297AD"/>
    <w:rsid w:val="5B3503FD"/>
    <w:rsid w:val="5FD9C344"/>
    <w:rsid w:val="615C5DD6"/>
    <w:rsid w:val="6EE2F4D7"/>
    <w:rsid w:val="7594FFD4"/>
    <w:rsid w:val="773774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E87DABE0-3B50-4F32-A18A-4921F45F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1st level - Bullet List Paragraph,List Paragraph1,Lettre d'introduction,Paragrafo elenco,Normal bullet 2,Bullet list,Numbered List,Task Body"/>
    <w:basedOn w:val="Normal"/>
    <w:link w:val="ListParagraphChar"/>
    <w:uiPriority w:val="34"/>
    <w:qFormat/>
    <w:rsid w:val="008A1FA4"/>
    <w:pPr>
      <w:ind w:left="720"/>
      <w:contextualSpacing/>
    </w:pPr>
  </w:style>
  <w:style w:type="table" w:styleId="TableGrid">
    <w:name w:val="Table Grid"/>
    <w:basedOn w:val="TableNormal"/>
    <w:rsid w:val="00762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6A3A7F"/>
    <w:rPr>
      <w:sz w:val="16"/>
      <w:szCs w:val="16"/>
    </w:rPr>
  </w:style>
  <w:style w:type="paragraph" w:styleId="CommentText">
    <w:name w:val="annotation text"/>
    <w:basedOn w:val="Normal"/>
    <w:link w:val="CommentTextChar"/>
    <w:qFormat/>
    <w:rsid w:val="006A3A7F"/>
  </w:style>
  <w:style w:type="character" w:customStyle="1" w:styleId="CommentTextChar">
    <w:name w:val="Comment Text Char"/>
    <w:basedOn w:val="DefaultParagraphFont"/>
    <w:link w:val="CommentText"/>
    <w:qFormat/>
    <w:rsid w:val="006A3A7F"/>
    <w:rPr>
      <w:lang w:eastAsia="en-US"/>
    </w:rPr>
  </w:style>
  <w:style w:type="paragraph" w:styleId="CommentSubject">
    <w:name w:val="annotation subject"/>
    <w:basedOn w:val="CommentText"/>
    <w:next w:val="CommentText"/>
    <w:link w:val="CommentSubjectChar"/>
    <w:rsid w:val="006A3A7F"/>
    <w:rPr>
      <w:b/>
      <w:bCs/>
    </w:rPr>
  </w:style>
  <w:style w:type="character" w:customStyle="1" w:styleId="CommentSubjectChar">
    <w:name w:val="Comment Subject Char"/>
    <w:basedOn w:val="CommentTextChar"/>
    <w:link w:val="CommentSubject"/>
    <w:rsid w:val="006A3A7F"/>
    <w:rPr>
      <w:b/>
      <w:bCs/>
      <w:lang w:eastAsia="en-US"/>
    </w:rPr>
  </w:style>
  <w:style w:type="character" w:customStyle="1" w:styleId="normaltextrun">
    <w:name w:val="normaltextrun"/>
    <w:basedOn w:val="DefaultParagraphFont"/>
    <w:rsid w:val="008C5033"/>
  </w:style>
  <w:style w:type="character" w:styleId="Mention">
    <w:name w:val="Mention"/>
    <w:basedOn w:val="DefaultParagraphFont"/>
    <w:uiPriority w:val="99"/>
    <w:unhideWhenUsed/>
    <w:rsid w:val="002912EA"/>
    <w:rPr>
      <w:color w:val="2B579A"/>
      <w:shd w:val="clear" w:color="auto" w:fill="E1DFDD"/>
    </w:rPr>
  </w:style>
  <w:style w:type="paragraph" w:customStyle="1" w:styleId="paragraph">
    <w:name w:val="paragraph"/>
    <w:basedOn w:val="Normal"/>
    <w:rsid w:val="00393F39"/>
    <w:pPr>
      <w:spacing w:before="100" w:beforeAutospacing="1" w:after="100" w:afterAutospacing="1"/>
    </w:pPr>
    <w:rPr>
      <w:sz w:val="24"/>
      <w:szCs w:val="24"/>
      <w:lang w:val="da-DK" w:eastAsia="da-DK"/>
    </w:rPr>
  </w:style>
  <w:style w:type="character" w:customStyle="1" w:styleId="eop">
    <w:name w:val="eop"/>
    <w:basedOn w:val="DefaultParagraphFont"/>
    <w:rsid w:val="00393F39"/>
  </w:style>
  <w:style w:type="character" w:customStyle="1" w:styleId="contextualspellingandgrammarerror">
    <w:name w:val="contextualspellingandgrammarerror"/>
    <w:basedOn w:val="DefaultParagraphFont"/>
    <w:rsid w:val="00393F39"/>
  </w:style>
  <w:style w:type="character" w:customStyle="1" w:styleId="spellingerror">
    <w:name w:val="spellingerror"/>
    <w:basedOn w:val="DefaultParagraphFont"/>
    <w:rsid w:val="00393F39"/>
  </w:style>
  <w:style w:type="character" w:customStyle="1" w:styleId="ListParagraphChar">
    <w:name w:val="List Paragraph Char"/>
    <w:aliases w:val="- Bullets Char,목록 단락 Char,リスト段落 Char,列出段落 Char,Lista1 Char,?? ?? Char,????? Char,???? Char,列出段落1 Char,中等深浅网格 1 - 着色 21 Char,1st level - Bullet List Paragraph Char,List Paragraph1 Char,Lettre d'introduction Char,Paragrafo elenco Char"/>
    <w:link w:val="ListParagraph"/>
    <w:uiPriority w:val="34"/>
    <w:qFormat/>
    <w:locked/>
    <w:rsid w:val="00AB60A7"/>
    <w:rPr>
      <w:lang w:eastAsia="en-US"/>
    </w:rPr>
  </w:style>
  <w:style w:type="character" w:styleId="SmartLink">
    <w:name w:val="Smart Link"/>
    <w:basedOn w:val="DefaultParagraphFont"/>
    <w:uiPriority w:val="99"/>
    <w:semiHidden/>
    <w:unhideWhenUsed/>
    <w:rsid w:val="00AB60A7"/>
    <w:rPr>
      <w:color w:val="0000FF"/>
      <w:u w:val="single"/>
      <w:shd w:val="clear" w:color="auto" w:fill="F3F2F1"/>
    </w:rPr>
  </w:style>
  <w:style w:type="paragraph" w:styleId="Revision">
    <w:name w:val="Revision"/>
    <w:hidden/>
    <w:uiPriority w:val="99"/>
    <w:semiHidden/>
    <w:rsid w:val="00207DA6"/>
    <w:rPr>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2E371F"/>
    <w:pPr>
      <w:spacing w:after="200"/>
    </w:pPr>
    <w:rPr>
      <w:rFonts w:eastAsia="SimSun"/>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2E371F"/>
    <w:rPr>
      <w:rFonts w:eastAsia="SimSun"/>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23615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3939571">
      <w:bodyDiv w:val="1"/>
      <w:marLeft w:val="0"/>
      <w:marRight w:val="0"/>
      <w:marTop w:val="0"/>
      <w:marBottom w:val="0"/>
      <w:divBdr>
        <w:top w:val="none" w:sz="0" w:space="0" w:color="auto"/>
        <w:left w:val="none" w:sz="0" w:space="0" w:color="auto"/>
        <w:bottom w:val="none" w:sz="0" w:space="0" w:color="auto"/>
        <w:right w:val="none" w:sz="0" w:space="0" w:color="auto"/>
      </w:divBdr>
      <w:divsChild>
        <w:div w:id="348600884">
          <w:marLeft w:val="0"/>
          <w:marRight w:val="0"/>
          <w:marTop w:val="0"/>
          <w:marBottom w:val="0"/>
          <w:divBdr>
            <w:top w:val="none" w:sz="0" w:space="0" w:color="auto"/>
            <w:left w:val="none" w:sz="0" w:space="0" w:color="auto"/>
            <w:bottom w:val="none" w:sz="0" w:space="0" w:color="auto"/>
            <w:right w:val="none" w:sz="0" w:space="0" w:color="auto"/>
          </w:divBdr>
        </w:div>
        <w:div w:id="133497020">
          <w:marLeft w:val="0"/>
          <w:marRight w:val="0"/>
          <w:marTop w:val="0"/>
          <w:marBottom w:val="0"/>
          <w:divBdr>
            <w:top w:val="none" w:sz="0" w:space="0" w:color="auto"/>
            <w:left w:val="none" w:sz="0" w:space="0" w:color="auto"/>
            <w:bottom w:val="none" w:sz="0" w:space="0" w:color="auto"/>
            <w:right w:val="none" w:sz="0" w:space="0" w:color="auto"/>
          </w:divBdr>
          <w:divsChild>
            <w:div w:id="1394672">
              <w:marLeft w:val="0"/>
              <w:marRight w:val="0"/>
              <w:marTop w:val="0"/>
              <w:marBottom w:val="0"/>
              <w:divBdr>
                <w:top w:val="none" w:sz="0" w:space="0" w:color="auto"/>
                <w:left w:val="none" w:sz="0" w:space="0" w:color="auto"/>
                <w:bottom w:val="none" w:sz="0" w:space="0" w:color="auto"/>
                <w:right w:val="none" w:sz="0" w:space="0" w:color="auto"/>
              </w:divBdr>
            </w:div>
            <w:div w:id="1845510001">
              <w:marLeft w:val="0"/>
              <w:marRight w:val="0"/>
              <w:marTop w:val="0"/>
              <w:marBottom w:val="0"/>
              <w:divBdr>
                <w:top w:val="none" w:sz="0" w:space="0" w:color="auto"/>
                <w:left w:val="none" w:sz="0" w:space="0" w:color="auto"/>
                <w:bottom w:val="none" w:sz="0" w:space="0" w:color="auto"/>
                <w:right w:val="none" w:sz="0" w:space="0" w:color="auto"/>
              </w:divBdr>
            </w:div>
            <w:div w:id="242836196">
              <w:marLeft w:val="0"/>
              <w:marRight w:val="0"/>
              <w:marTop w:val="0"/>
              <w:marBottom w:val="0"/>
              <w:divBdr>
                <w:top w:val="none" w:sz="0" w:space="0" w:color="auto"/>
                <w:left w:val="none" w:sz="0" w:space="0" w:color="auto"/>
                <w:bottom w:val="none" w:sz="0" w:space="0" w:color="auto"/>
                <w:right w:val="none" w:sz="0" w:space="0" w:color="auto"/>
              </w:divBdr>
            </w:div>
            <w:div w:id="686639127">
              <w:marLeft w:val="0"/>
              <w:marRight w:val="0"/>
              <w:marTop w:val="0"/>
              <w:marBottom w:val="0"/>
              <w:divBdr>
                <w:top w:val="none" w:sz="0" w:space="0" w:color="auto"/>
                <w:left w:val="none" w:sz="0" w:space="0" w:color="auto"/>
                <w:bottom w:val="none" w:sz="0" w:space="0" w:color="auto"/>
                <w:right w:val="none" w:sz="0" w:space="0" w:color="auto"/>
              </w:divBdr>
            </w:div>
            <w:div w:id="1950238815">
              <w:marLeft w:val="0"/>
              <w:marRight w:val="0"/>
              <w:marTop w:val="0"/>
              <w:marBottom w:val="0"/>
              <w:divBdr>
                <w:top w:val="none" w:sz="0" w:space="0" w:color="auto"/>
                <w:left w:val="none" w:sz="0" w:space="0" w:color="auto"/>
                <w:bottom w:val="none" w:sz="0" w:space="0" w:color="auto"/>
                <w:right w:val="none" w:sz="0" w:space="0" w:color="auto"/>
              </w:divBdr>
            </w:div>
            <w:div w:id="605233858">
              <w:marLeft w:val="0"/>
              <w:marRight w:val="0"/>
              <w:marTop w:val="0"/>
              <w:marBottom w:val="0"/>
              <w:divBdr>
                <w:top w:val="none" w:sz="0" w:space="0" w:color="auto"/>
                <w:left w:val="none" w:sz="0" w:space="0" w:color="auto"/>
                <w:bottom w:val="none" w:sz="0" w:space="0" w:color="auto"/>
                <w:right w:val="none" w:sz="0" w:space="0" w:color="auto"/>
              </w:divBdr>
            </w:div>
            <w:div w:id="715006342">
              <w:marLeft w:val="0"/>
              <w:marRight w:val="0"/>
              <w:marTop w:val="0"/>
              <w:marBottom w:val="0"/>
              <w:divBdr>
                <w:top w:val="none" w:sz="0" w:space="0" w:color="auto"/>
                <w:left w:val="none" w:sz="0" w:space="0" w:color="auto"/>
                <w:bottom w:val="none" w:sz="0" w:space="0" w:color="auto"/>
                <w:right w:val="none" w:sz="0" w:space="0" w:color="auto"/>
              </w:divBdr>
            </w:div>
            <w:div w:id="1760757080">
              <w:marLeft w:val="0"/>
              <w:marRight w:val="0"/>
              <w:marTop w:val="0"/>
              <w:marBottom w:val="0"/>
              <w:divBdr>
                <w:top w:val="none" w:sz="0" w:space="0" w:color="auto"/>
                <w:left w:val="none" w:sz="0" w:space="0" w:color="auto"/>
                <w:bottom w:val="none" w:sz="0" w:space="0" w:color="auto"/>
                <w:right w:val="none" w:sz="0" w:space="0" w:color="auto"/>
              </w:divBdr>
            </w:div>
            <w:div w:id="1517574993">
              <w:marLeft w:val="0"/>
              <w:marRight w:val="0"/>
              <w:marTop w:val="0"/>
              <w:marBottom w:val="0"/>
              <w:divBdr>
                <w:top w:val="none" w:sz="0" w:space="0" w:color="auto"/>
                <w:left w:val="none" w:sz="0" w:space="0" w:color="auto"/>
                <w:bottom w:val="none" w:sz="0" w:space="0" w:color="auto"/>
                <w:right w:val="none" w:sz="0" w:space="0" w:color="auto"/>
              </w:divBdr>
            </w:div>
            <w:div w:id="23141194">
              <w:marLeft w:val="0"/>
              <w:marRight w:val="0"/>
              <w:marTop w:val="0"/>
              <w:marBottom w:val="0"/>
              <w:divBdr>
                <w:top w:val="none" w:sz="0" w:space="0" w:color="auto"/>
                <w:left w:val="none" w:sz="0" w:space="0" w:color="auto"/>
                <w:bottom w:val="none" w:sz="0" w:space="0" w:color="auto"/>
                <w:right w:val="none" w:sz="0" w:space="0" w:color="auto"/>
              </w:divBdr>
            </w:div>
            <w:div w:id="847865354">
              <w:marLeft w:val="0"/>
              <w:marRight w:val="0"/>
              <w:marTop w:val="0"/>
              <w:marBottom w:val="0"/>
              <w:divBdr>
                <w:top w:val="none" w:sz="0" w:space="0" w:color="auto"/>
                <w:left w:val="none" w:sz="0" w:space="0" w:color="auto"/>
                <w:bottom w:val="none" w:sz="0" w:space="0" w:color="auto"/>
                <w:right w:val="none" w:sz="0" w:space="0" w:color="auto"/>
              </w:divBdr>
            </w:div>
            <w:div w:id="555312013">
              <w:marLeft w:val="0"/>
              <w:marRight w:val="0"/>
              <w:marTop w:val="0"/>
              <w:marBottom w:val="0"/>
              <w:divBdr>
                <w:top w:val="none" w:sz="0" w:space="0" w:color="auto"/>
                <w:left w:val="none" w:sz="0" w:space="0" w:color="auto"/>
                <w:bottom w:val="none" w:sz="0" w:space="0" w:color="auto"/>
                <w:right w:val="none" w:sz="0" w:space="0" w:color="auto"/>
              </w:divBdr>
            </w:div>
            <w:div w:id="663316464">
              <w:marLeft w:val="0"/>
              <w:marRight w:val="0"/>
              <w:marTop w:val="0"/>
              <w:marBottom w:val="0"/>
              <w:divBdr>
                <w:top w:val="none" w:sz="0" w:space="0" w:color="auto"/>
                <w:left w:val="none" w:sz="0" w:space="0" w:color="auto"/>
                <w:bottom w:val="none" w:sz="0" w:space="0" w:color="auto"/>
                <w:right w:val="none" w:sz="0" w:space="0" w:color="auto"/>
              </w:divBdr>
            </w:div>
            <w:div w:id="31921982">
              <w:marLeft w:val="0"/>
              <w:marRight w:val="0"/>
              <w:marTop w:val="0"/>
              <w:marBottom w:val="0"/>
              <w:divBdr>
                <w:top w:val="none" w:sz="0" w:space="0" w:color="auto"/>
                <w:left w:val="none" w:sz="0" w:space="0" w:color="auto"/>
                <w:bottom w:val="none" w:sz="0" w:space="0" w:color="auto"/>
                <w:right w:val="none" w:sz="0" w:space="0" w:color="auto"/>
              </w:divBdr>
            </w:div>
            <w:div w:id="1435059086">
              <w:marLeft w:val="0"/>
              <w:marRight w:val="0"/>
              <w:marTop w:val="0"/>
              <w:marBottom w:val="0"/>
              <w:divBdr>
                <w:top w:val="none" w:sz="0" w:space="0" w:color="auto"/>
                <w:left w:val="none" w:sz="0" w:space="0" w:color="auto"/>
                <w:bottom w:val="none" w:sz="0" w:space="0" w:color="auto"/>
                <w:right w:val="none" w:sz="0" w:space="0" w:color="auto"/>
              </w:divBdr>
            </w:div>
            <w:div w:id="1357274957">
              <w:marLeft w:val="0"/>
              <w:marRight w:val="0"/>
              <w:marTop w:val="0"/>
              <w:marBottom w:val="0"/>
              <w:divBdr>
                <w:top w:val="none" w:sz="0" w:space="0" w:color="auto"/>
                <w:left w:val="none" w:sz="0" w:space="0" w:color="auto"/>
                <w:bottom w:val="none" w:sz="0" w:space="0" w:color="auto"/>
                <w:right w:val="none" w:sz="0" w:space="0" w:color="auto"/>
              </w:divBdr>
            </w:div>
            <w:div w:id="1698502230">
              <w:marLeft w:val="0"/>
              <w:marRight w:val="0"/>
              <w:marTop w:val="0"/>
              <w:marBottom w:val="0"/>
              <w:divBdr>
                <w:top w:val="none" w:sz="0" w:space="0" w:color="auto"/>
                <w:left w:val="none" w:sz="0" w:space="0" w:color="auto"/>
                <w:bottom w:val="none" w:sz="0" w:space="0" w:color="auto"/>
                <w:right w:val="none" w:sz="0" w:space="0" w:color="auto"/>
              </w:divBdr>
            </w:div>
            <w:div w:id="1735158823">
              <w:marLeft w:val="0"/>
              <w:marRight w:val="0"/>
              <w:marTop w:val="0"/>
              <w:marBottom w:val="0"/>
              <w:divBdr>
                <w:top w:val="none" w:sz="0" w:space="0" w:color="auto"/>
                <w:left w:val="none" w:sz="0" w:space="0" w:color="auto"/>
                <w:bottom w:val="none" w:sz="0" w:space="0" w:color="auto"/>
                <w:right w:val="none" w:sz="0" w:space="0" w:color="auto"/>
              </w:divBdr>
            </w:div>
            <w:div w:id="2111466189">
              <w:marLeft w:val="0"/>
              <w:marRight w:val="0"/>
              <w:marTop w:val="0"/>
              <w:marBottom w:val="0"/>
              <w:divBdr>
                <w:top w:val="none" w:sz="0" w:space="0" w:color="auto"/>
                <w:left w:val="none" w:sz="0" w:space="0" w:color="auto"/>
                <w:bottom w:val="none" w:sz="0" w:space="0" w:color="auto"/>
                <w:right w:val="none" w:sz="0" w:space="0" w:color="auto"/>
              </w:divBdr>
            </w:div>
            <w:div w:id="555047343">
              <w:marLeft w:val="0"/>
              <w:marRight w:val="0"/>
              <w:marTop w:val="0"/>
              <w:marBottom w:val="0"/>
              <w:divBdr>
                <w:top w:val="none" w:sz="0" w:space="0" w:color="auto"/>
                <w:left w:val="none" w:sz="0" w:space="0" w:color="auto"/>
                <w:bottom w:val="none" w:sz="0" w:space="0" w:color="auto"/>
                <w:right w:val="none" w:sz="0" w:space="0" w:color="auto"/>
              </w:divBdr>
            </w:div>
            <w:div w:id="941062146">
              <w:marLeft w:val="0"/>
              <w:marRight w:val="0"/>
              <w:marTop w:val="0"/>
              <w:marBottom w:val="0"/>
              <w:divBdr>
                <w:top w:val="none" w:sz="0" w:space="0" w:color="auto"/>
                <w:left w:val="none" w:sz="0" w:space="0" w:color="auto"/>
                <w:bottom w:val="none" w:sz="0" w:space="0" w:color="auto"/>
                <w:right w:val="none" w:sz="0" w:space="0" w:color="auto"/>
              </w:divBdr>
            </w:div>
          </w:divsChild>
        </w:div>
        <w:div w:id="1051347770">
          <w:marLeft w:val="0"/>
          <w:marRight w:val="0"/>
          <w:marTop w:val="0"/>
          <w:marBottom w:val="0"/>
          <w:divBdr>
            <w:top w:val="none" w:sz="0" w:space="0" w:color="auto"/>
            <w:left w:val="none" w:sz="0" w:space="0" w:color="auto"/>
            <w:bottom w:val="none" w:sz="0" w:space="0" w:color="auto"/>
            <w:right w:val="none" w:sz="0" w:space="0" w:color="auto"/>
          </w:divBdr>
        </w:div>
        <w:div w:id="474295908">
          <w:marLeft w:val="0"/>
          <w:marRight w:val="0"/>
          <w:marTop w:val="0"/>
          <w:marBottom w:val="0"/>
          <w:divBdr>
            <w:top w:val="none" w:sz="0" w:space="0" w:color="auto"/>
            <w:left w:val="none" w:sz="0" w:space="0" w:color="auto"/>
            <w:bottom w:val="none" w:sz="0" w:space="0" w:color="auto"/>
            <w:right w:val="none" w:sz="0" w:space="0" w:color="auto"/>
          </w:divBdr>
        </w:div>
        <w:div w:id="983630015">
          <w:marLeft w:val="0"/>
          <w:marRight w:val="0"/>
          <w:marTop w:val="0"/>
          <w:marBottom w:val="0"/>
          <w:divBdr>
            <w:top w:val="none" w:sz="0" w:space="0" w:color="auto"/>
            <w:left w:val="none" w:sz="0" w:space="0" w:color="auto"/>
            <w:bottom w:val="none" w:sz="0" w:space="0" w:color="auto"/>
            <w:right w:val="none" w:sz="0" w:space="0" w:color="auto"/>
          </w:divBdr>
        </w:div>
        <w:div w:id="714348889">
          <w:marLeft w:val="0"/>
          <w:marRight w:val="0"/>
          <w:marTop w:val="0"/>
          <w:marBottom w:val="0"/>
          <w:divBdr>
            <w:top w:val="none" w:sz="0" w:space="0" w:color="auto"/>
            <w:left w:val="none" w:sz="0" w:space="0" w:color="auto"/>
            <w:bottom w:val="none" w:sz="0" w:space="0" w:color="auto"/>
            <w:right w:val="none" w:sz="0" w:space="0" w:color="auto"/>
          </w:divBdr>
        </w:div>
        <w:div w:id="2093695793">
          <w:marLeft w:val="0"/>
          <w:marRight w:val="0"/>
          <w:marTop w:val="0"/>
          <w:marBottom w:val="0"/>
          <w:divBdr>
            <w:top w:val="none" w:sz="0" w:space="0" w:color="auto"/>
            <w:left w:val="none" w:sz="0" w:space="0" w:color="auto"/>
            <w:bottom w:val="none" w:sz="0" w:space="0" w:color="auto"/>
            <w:right w:val="none" w:sz="0" w:space="0" w:color="auto"/>
          </w:divBdr>
        </w:div>
        <w:div w:id="1281836620">
          <w:marLeft w:val="0"/>
          <w:marRight w:val="0"/>
          <w:marTop w:val="0"/>
          <w:marBottom w:val="0"/>
          <w:divBdr>
            <w:top w:val="none" w:sz="0" w:space="0" w:color="auto"/>
            <w:left w:val="none" w:sz="0" w:space="0" w:color="auto"/>
            <w:bottom w:val="none" w:sz="0" w:space="0" w:color="auto"/>
            <w:right w:val="none" w:sz="0" w:space="0" w:color="auto"/>
          </w:divBdr>
        </w:div>
        <w:div w:id="1891114242">
          <w:marLeft w:val="0"/>
          <w:marRight w:val="0"/>
          <w:marTop w:val="0"/>
          <w:marBottom w:val="0"/>
          <w:divBdr>
            <w:top w:val="none" w:sz="0" w:space="0" w:color="auto"/>
            <w:left w:val="none" w:sz="0" w:space="0" w:color="auto"/>
            <w:bottom w:val="none" w:sz="0" w:space="0" w:color="auto"/>
            <w:right w:val="none" w:sz="0" w:space="0" w:color="auto"/>
          </w:divBdr>
        </w:div>
        <w:div w:id="2029870754">
          <w:marLeft w:val="0"/>
          <w:marRight w:val="0"/>
          <w:marTop w:val="0"/>
          <w:marBottom w:val="0"/>
          <w:divBdr>
            <w:top w:val="none" w:sz="0" w:space="0" w:color="auto"/>
            <w:left w:val="none" w:sz="0" w:space="0" w:color="auto"/>
            <w:bottom w:val="none" w:sz="0" w:space="0" w:color="auto"/>
            <w:right w:val="none" w:sz="0" w:space="0" w:color="auto"/>
          </w:divBdr>
        </w:div>
        <w:div w:id="207298082">
          <w:marLeft w:val="0"/>
          <w:marRight w:val="0"/>
          <w:marTop w:val="0"/>
          <w:marBottom w:val="0"/>
          <w:divBdr>
            <w:top w:val="none" w:sz="0" w:space="0" w:color="auto"/>
            <w:left w:val="none" w:sz="0" w:space="0" w:color="auto"/>
            <w:bottom w:val="none" w:sz="0" w:space="0" w:color="auto"/>
            <w:right w:val="none" w:sz="0" w:space="0" w:color="auto"/>
          </w:divBdr>
        </w:div>
        <w:div w:id="295647997">
          <w:marLeft w:val="0"/>
          <w:marRight w:val="0"/>
          <w:marTop w:val="0"/>
          <w:marBottom w:val="0"/>
          <w:divBdr>
            <w:top w:val="none" w:sz="0" w:space="0" w:color="auto"/>
            <w:left w:val="none" w:sz="0" w:space="0" w:color="auto"/>
            <w:bottom w:val="none" w:sz="0" w:space="0" w:color="auto"/>
            <w:right w:val="none" w:sz="0" w:space="0" w:color="auto"/>
          </w:divBdr>
        </w:div>
        <w:div w:id="477187089">
          <w:marLeft w:val="0"/>
          <w:marRight w:val="0"/>
          <w:marTop w:val="0"/>
          <w:marBottom w:val="0"/>
          <w:divBdr>
            <w:top w:val="none" w:sz="0" w:space="0" w:color="auto"/>
            <w:left w:val="none" w:sz="0" w:space="0" w:color="auto"/>
            <w:bottom w:val="none" w:sz="0" w:space="0" w:color="auto"/>
            <w:right w:val="none" w:sz="0" w:space="0" w:color="auto"/>
          </w:divBdr>
        </w:div>
        <w:div w:id="1483815958">
          <w:marLeft w:val="0"/>
          <w:marRight w:val="0"/>
          <w:marTop w:val="0"/>
          <w:marBottom w:val="0"/>
          <w:divBdr>
            <w:top w:val="none" w:sz="0" w:space="0" w:color="auto"/>
            <w:left w:val="none" w:sz="0" w:space="0" w:color="auto"/>
            <w:bottom w:val="none" w:sz="0" w:space="0" w:color="auto"/>
            <w:right w:val="none" w:sz="0" w:space="0" w:color="auto"/>
          </w:divBdr>
        </w:div>
        <w:div w:id="1096710921">
          <w:marLeft w:val="0"/>
          <w:marRight w:val="0"/>
          <w:marTop w:val="0"/>
          <w:marBottom w:val="0"/>
          <w:divBdr>
            <w:top w:val="none" w:sz="0" w:space="0" w:color="auto"/>
            <w:left w:val="none" w:sz="0" w:space="0" w:color="auto"/>
            <w:bottom w:val="none" w:sz="0" w:space="0" w:color="auto"/>
            <w:right w:val="none" w:sz="0" w:space="0" w:color="auto"/>
          </w:divBdr>
        </w:div>
        <w:div w:id="831214713">
          <w:marLeft w:val="0"/>
          <w:marRight w:val="0"/>
          <w:marTop w:val="0"/>
          <w:marBottom w:val="0"/>
          <w:divBdr>
            <w:top w:val="none" w:sz="0" w:space="0" w:color="auto"/>
            <w:left w:val="none" w:sz="0" w:space="0" w:color="auto"/>
            <w:bottom w:val="none" w:sz="0" w:space="0" w:color="auto"/>
            <w:right w:val="none" w:sz="0" w:space="0" w:color="auto"/>
          </w:divBdr>
        </w:div>
        <w:div w:id="1050574428">
          <w:marLeft w:val="0"/>
          <w:marRight w:val="0"/>
          <w:marTop w:val="0"/>
          <w:marBottom w:val="0"/>
          <w:divBdr>
            <w:top w:val="none" w:sz="0" w:space="0" w:color="auto"/>
            <w:left w:val="none" w:sz="0" w:space="0" w:color="auto"/>
            <w:bottom w:val="none" w:sz="0" w:space="0" w:color="auto"/>
            <w:right w:val="none" w:sz="0" w:space="0" w:color="auto"/>
          </w:divBdr>
        </w:div>
        <w:div w:id="1125349366">
          <w:marLeft w:val="0"/>
          <w:marRight w:val="0"/>
          <w:marTop w:val="0"/>
          <w:marBottom w:val="0"/>
          <w:divBdr>
            <w:top w:val="none" w:sz="0" w:space="0" w:color="auto"/>
            <w:left w:val="none" w:sz="0" w:space="0" w:color="auto"/>
            <w:bottom w:val="none" w:sz="0" w:space="0" w:color="auto"/>
            <w:right w:val="none" w:sz="0" w:space="0" w:color="auto"/>
          </w:divBdr>
        </w:div>
        <w:div w:id="1438528611">
          <w:marLeft w:val="0"/>
          <w:marRight w:val="0"/>
          <w:marTop w:val="0"/>
          <w:marBottom w:val="0"/>
          <w:divBdr>
            <w:top w:val="none" w:sz="0" w:space="0" w:color="auto"/>
            <w:left w:val="none" w:sz="0" w:space="0" w:color="auto"/>
            <w:bottom w:val="none" w:sz="0" w:space="0" w:color="auto"/>
            <w:right w:val="none" w:sz="0" w:space="0" w:color="auto"/>
          </w:divBdr>
        </w:div>
        <w:div w:id="1148983997">
          <w:marLeft w:val="0"/>
          <w:marRight w:val="0"/>
          <w:marTop w:val="0"/>
          <w:marBottom w:val="0"/>
          <w:divBdr>
            <w:top w:val="none" w:sz="0" w:space="0" w:color="auto"/>
            <w:left w:val="none" w:sz="0" w:space="0" w:color="auto"/>
            <w:bottom w:val="none" w:sz="0" w:space="0" w:color="auto"/>
            <w:right w:val="none" w:sz="0" w:space="0" w:color="auto"/>
          </w:divBdr>
        </w:div>
        <w:div w:id="1729104620">
          <w:marLeft w:val="0"/>
          <w:marRight w:val="0"/>
          <w:marTop w:val="0"/>
          <w:marBottom w:val="0"/>
          <w:divBdr>
            <w:top w:val="none" w:sz="0" w:space="0" w:color="auto"/>
            <w:left w:val="none" w:sz="0" w:space="0" w:color="auto"/>
            <w:bottom w:val="none" w:sz="0" w:space="0" w:color="auto"/>
            <w:right w:val="none" w:sz="0" w:space="0" w:color="auto"/>
          </w:divBdr>
        </w:div>
        <w:div w:id="2125273647">
          <w:marLeft w:val="0"/>
          <w:marRight w:val="0"/>
          <w:marTop w:val="0"/>
          <w:marBottom w:val="0"/>
          <w:divBdr>
            <w:top w:val="none" w:sz="0" w:space="0" w:color="auto"/>
            <w:left w:val="none" w:sz="0" w:space="0" w:color="auto"/>
            <w:bottom w:val="none" w:sz="0" w:space="0" w:color="auto"/>
            <w:right w:val="none" w:sz="0" w:space="0" w:color="auto"/>
          </w:divBdr>
        </w:div>
        <w:div w:id="126748268">
          <w:marLeft w:val="0"/>
          <w:marRight w:val="0"/>
          <w:marTop w:val="0"/>
          <w:marBottom w:val="0"/>
          <w:divBdr>
            <w:top w:val="none" w:sz="0" w:space="0" w:color="auto"/>
            <w:left w:val="none" w:sz="0" w:space="0" w:color="auto"/>
            <w:bottom w:val="none" w:sz="0" w:space="0" w:color="auto"/>
            <w:right w:val="none" w:sz="0" w:space="0" w:color="auto"/>
          </w:divBdr>
        </w:div>
        <w:div w:id="1966427642">
          <w:marLeft w:val="0"/>
          <w:marRight w:val="0"/>
          <w:marTop w:val="0"/>
          <w:marBottom w:val="0"/>
          <w:divBdr>
            <w:top w:val="none" w:sz="0" w:space="0" w:color="auto"/>
            <w:left w:val="none" w:sz="0" w:space="0" w:color="auto"/>
            <w:bottom w:val="none" w:sz="0" w:space="0" w:color="auto"/>
            <w:right w:val="none" w:sz="0" w:space="0" w:color="auto"/>
          </w:divBdr>
        </w:div>
        <w:div w:id="367414546">
          <w:marLeft w:val="0"/>
          <w:marRight w:val="0"/>
          <w:marTop w:val="0"/>
          <w:marBottom w:val="0"/>
          <w:divBdr>
            <w:top w:val="none" w:sz="0" w:space="0" w:color="auto"/>
            <w:left w:val="none" w:sz="0" w:space="0" w:color="auto"/>
            <w:bottom w:val="none" w:sz="0" w:space="0" w:color="auto"/>
            <w:right w:val="none" w:sz="0" w:space="0" w:color="auto"/>
          </w:divBdr>
        </w:div>
        <w:div w:id="1172918380">
          <w:marLeft w:val="0"/>
          <w:marRight w:val="0"/>
          <w:marTop w:val="0"/>
          <w:marBottom w:val="0"/>
          <w:divBdr>
            <w:top w:val="none" w:sz="0" w:space="0" w:color="auto"/>
            <w:left w:val="none" w:sz="0" w:space="0" w:color="auto"/>
            <w:bottom w:val="none" w:sz="0" w:space="0" w:color="auto"/>
            <w:right w:val="none" w:sz="0" w:space="0" w:color="auto"/>
          </w:divBdr>
        </w:div>
        <w:div w:id="1571885983">
          <w:marLeft w:val="0"/>
          <w:marRight w:val="0"/>
          <w:marTop w:val="0"/>
          <w:marBottom w:val="0"/>
          <w:divBdr>
            <w:top w:val="none" w:sz="0" w:space="0" w:color="auto"/>
            <w:left w:val="none" w:sz="0" w:space="0" w:color="auto"/>
            <w:bottom w:val="none" w:sz="0" w:space="0" w:color="auto"/>
            <w:right w:val="none" w:sz="0" w:space="0" w:color="auto"/>
          </w:divBdr>
        </w:div>
        <w:div w:id="917251541">
          <w:marLeft w:val="0"/>
          <w:marRight w:val="0"/>
          <w:marTop w:val="0"/>
          <w:marBottom w:val="0"/>
          <w:divBdr>
            <w:top w:val="none" w:sz="0" w:space="0" w:color="auto"/>
            <w:left w:val="none" w:sz="0" w:space="0" w:color="auto"/>
            <w:bottom w:val="none" w:sz="0" w:space="0" w:color="auto"/>
            <w:right w:val="none" w:sz="0" w:space="0" w:color="auto"/>
          </w:divBdr>
        </w:div>
        <w:div w:id="1858540059">
          <w:marLeft w:val="0"/>
          <w:marRight w:val="0"/>
          <w:marTop w:val="0"/>
          <w:marBottom w:val="0"/>
          <w:divBdr>
            <w:top w:val="none" w:sz="0" w:space="0" w:color="auto"/>
            <w:left w:val="none" w:sz="0" w:space="0" w:color="auto"/>
            <w:bottom w:val="none" w:sz="0" w:space="0" w:color="auto"/>
            <w:right w:val="none" w:sz="0" w:space="0" w:color="auto"/>
          </w:divBdr>
        </w:div>
        <w:div w:id="554975211">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6050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5AIRPNAIUNRU-859666464-10328</_dlc_DocId>
    <_dlc_DocIdUrl xmlns="71c5aaf6-e6ce-465b-b873-5148d2a4c105">
      <Url>https://nokia.sharepoint.com/sites/c5g/e2earch/_layouts/15/DocIdRedir.aspx?ID=5AIRPNAIUNRU-859666464-10328</Url>
      <Description>5AIRPNAIUNRU-859666464-10328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33307A0-22E8-499D-A56F-61C280D25271}">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627</TotalTime>
  <Pages>4</Pages>
  <Words>1291</Words>
  <Characters>7361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8635</CharactersWithSpaces>
  <SharedDoc>false</SharedDoc>
  <HyperlinkBase/>
  <HLinks>
    <vt:vector size="6" baseType="variant">
      <vt:variant>
        <vt:i4>7602251</vt:i4>
      </vt:variant>
      <vt:variant>
        <vt:i4>0</vt:i4>
      </vt:variant>
      <vt:variant>
        <vt:i4>0</vt:i4>
      </vt:variant>
      <vt:variant>
        <vt:i4>5</vt:i4>
      </vt:variant>
      <vt:variant>
        <vt:lpwstr>mailto:steven.1.xu@nokia-sbell.com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119</cp:revision>
  <dcterms:created xsi:type="dcterms:W3CDTF">2021-12-22T10:04:00Z</dcterms:created>
  <dcterms:modified xsi:type="dcterms:W3CDTF">2022-01-11T10:44:00Z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2a5952ce-d77f-44d1-a41b-59eaaf0c527f</vt:lpwstr>
  </property>
</Properties>
</file>